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662" w:rsidRDefault="00B64662" w:rsidP="00B64662">
      <w:pPr>
        <w:pStyle w:val="PartHeading"/>
        <w:keepNext w:val="0"/>
        <w:widowControl w:val="0"/>
        <w:spacing w:before="0" w:after="100" w:afterAutospacing="1"/>
        <w:rPr>
          <w:sz w:val="24"/>
        </w:rPr>
      </w:pPr>
      <w:bookmarkStart w:id="0" w:name="_Toc389723139"/>
      <w:bookmarkStart w:id="1" w:name="_Toc374431973"/>
      <w:bookmarkStart w:id="2" w:name="_Toc374431866"/>
      <w:bookmarkStart w:id="3" w:name="_Toc370997122"/>
      <w:bookmarkStart w:id="4" w:name="_Toc370996963"/>
      <w:bookmarkStart w:id="5" w:name="_GoBack"/>
      <w:bookmarkEnd w:id="5"/>
    </w:p>
    <w:p w:rsidR="00B64662" w:rsidRDefault="00B64662" w:rsidP="00B64662">
      <w:pPr>
        <w:pStyle w:val="PartHeading"/>
        <w:keepNext w:val="0"/>
        <w:widowControl w:val="0"/>
        <w:spacing w:before="0" w:after="100" w:afterAutospacing="1"/>
        <w:rPr>
          <w:sz w:val="24"/>
        </w:rPr>
      </w:pPr>
      <w:r>
        <w:rPr>
          <w:sz w:val="24"/>
        </w:rPr>
        <w:t>III. Pädeva asutuse mudellepingu ja ühtse aruandluse standardi kommentaarid</w:t>
      </w:r>
    </w:p>
    <w:p w:rsidR="00B64662" w:rsidRPr="00B64662" w:rsidRDefault="00B64662" w:rsidP="00B64662">
      <w:pPr>
        <w:pStyle w:val="Kehatekst"/>
      </w:pPr>
    </w:p>
    <w:sdt>
      <w:sdtPr>
        <w:rPr>
          <w:rFonts w:ascii="Times New Roman" w:eastAsia="Times New Roman" w:hAnsi="Times New Roman" w:cs="Times New Roman"/>
          <w:b w:val="0"/>
          <w:bCs w:val="0"/>
          <w:color w:val="auto"/>
          <w:sz w:val="22"/>
          <w:szCs w:val="22"/>
        </w:rPr>
        <w:id w:val="26215945"/>
        <w:docPartObj>
          <w:docPartGallery w:val="Table of Contents"/>
          <w:docPartUnique/>
        </w:docPartObj>
      </w:sdtPr>
      <w:sdtEndPr/>
      <w:sdtContent>
        <w:p w:rsidR="00B64662" w:rsidRDefault="00394DD4" w:rsidP="00394DD4">
          <w:pPr>
            <w:pStyle w:val="Sisukorrapealkiri"/>
          </w:pPr>
          <w:r>
            <w:t>Sisukord</w:t>
          </w:r>
        </w:p>
        <w:p w:rsidR="00B64662" w:rsidRDefault="00F15FDA">
          <w:pPr>
            <w:pStyle w:val="SK1"/>
            <w:rPr>
              <w:rFonts w:asciiTheme="minorHAnsi" w:eastAsiaTheme="minorEastAsia" w:hAnsiTheme="minorHAnsi" w:cstheme="minorBidi"/>
              <w:caps w:val="0"/>
              <w:noProof/>
              <w:lang w:bidi="ar-SA"/>
            </w:rPr>
          </w:pPr>
          <w:r>
            <w:fldChar w:fldCharType="begin"/>
          </w:r>
          <w:r w:rsidR="00B64662">
            <w:instrText xml:space="preserve"> TOC \o "1-3" \h \z \u </w:instrText>
          </w:r>
          <w:r>
            <w:fldChar w:fldCharType="separate"/>
          </w:r>
          <w:hyperlink w:anchor="_Toc420331870" w:history="1">
            <w:r w:rsidR="00B64662" w:rsidRPr="003A60BC">
              <w:rPr>
                <w:rStyle w:val="Hperlink"/>
                <w:noProof/>
              </w:rPr>
              <w:t>A. Pädeva asutuse mudellepingu kommentaarid.</w:t>
            </w:r>
            <w:r w:rsidRPr="003A60BC">
              <w:rPr>
                <w:rStyle w:val="Hperlink"/>
                <w:noProof/>
                <w:szCs w:val="24"/>
              </w:rPr>
              <w:fldChar w:fldCharType="begin"/>
            </w:r>
            <w:r w:rsidR="00B64662" w:rsidRPr="003A60BC">
              <w:rPr>
                <w:rStyle w:val="Hperlink"/>
                <w:noProof/>
                <w:szCs w:val="24"/>
              </w:rPr>
              <w:instrText>MACROBUTTON NUMBERING</w:instrText>
            </w:r>
            <w:r w:rsidRPr="003A60BC">
              <w:rPr>
                <w:rStyle w:val="Hperlink"/>
                <w:noProof/>
                <w:szCs w:val="24"/>
              </w:rPr>
              <w:fldChar w:fldCharType="end"/>
            </w:r>
            <w:r w:rsidR="00B64662">
              <w:rPr>
                <w:noProof/>
                <w:webHidden/>
              </w:rPr>
              <w:tab/>
            </w:r>
            <w:r>
              <w:rPr>
                <w:noProof/>
                <w:webHidden/>
              </w:rPr>
              <w:fldChar w:fldCharType="begin"/>
            </w:r>
            <w:r w:rsidR="00B64662">
              <w:rPr>
                <w:noProof/>
                <w:webHidden/>
              </w:rPr>
              <w:instrText xml:space="preserve"> PAGEREF _Toc420331870 \h </w:instrText>
            </w:r>
            <w:r>
              <w:rPr>
                <w:noProof/>
                <w:webHidden/>
              </w:rPr>
            </w:r>
            <w:r>
              <w:rPr>
                <w:noProof/>
                <w:webHidden/>
              </w:rPr>
              <w:fldChar w:fldCharType="separate"/>
            </w:r>
            <w:r w:rsidR="00B64662">
              <w:rPr>
                <w:noProof/>
                <w:webHidden/>
              </w:rPr>
              <w:t>1</w:t>
            </w:r>
            <w:r>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71" w:history="1">
            <w:r w:rsidR="00B64662" w:rsidRPr="003A60BC">
              <w:rPr>
                <w:rStyle w:val="Hperlink"/>
                <w:noProof/>
              </w:rPr>
              <w:t>Sissejuhatus</w:t>
            </w:r>
            <w:r w:rsidR="00B64662">
              <w:rPr>
                <w:noProof/>
                <w:webHidden/>
              </w:rPr>
              <w:tab/>
            </w:r>
            <w:r w:rsidR="00F15FDA">
              <w:rPr>
                <w:noProof/>
                <w:webHidden/>
              </w:rPr>
              <w:fldChar w:fldCharType="begin"/>
            </w:r>
            <w:r w:rsidR="00B64662">
              <w:rPr>
                <w:noProof/>
                <w:webHidden/>
              </w:rPr>
              <w:instrText xml:space="preserve"> PAGEREF _Toc420331871 \h </w:instrText>
            </w:r>
            <w:r w:rsidR="00F15FDA">
              <w:rPr>
                <w:noProof/>
                <w:webHidden/>
              </w:rPr>
            </w:r>
            <w:r w:rsidR="00F15FDA">
              <w:rPr>
                <w:noProof/>
                <w:webHidden/>
              </w:rPr>
              <w:fldChar w:fldCharType="separate"/>
            </w:r>
            <w:r w:rsidR="00B64662">
              <w:rPr>
                <w:noProof/>
                <w:webHidden/>
              </w:rPr>
              <w:t>1</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72"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Preambula kommentaarid</w:t>
            </w:r>
            <w:r w:rsidR="00B64662">
              <w:rPr>
                <w:noProof/>
                <w:webHidden/>
              </w:rPr>
              <w:tab/>
            </w:r>
            <w:r w:rsidR="00F15FDA">
              <w:rPr>
                <w:noProof/>
                <w:webHidden/>
              </w:rPr>
              <w:fldChar w:fldCharType="begin"/>
            </w:r>
            <w:r w:rsidR="00B64662">
              <w:rPr>
                <w:noProof/>
                <w:webHidden/>
              </w:rPr>
              <w:instrText xml:space="preserve"> PAGEREF _Toc420331872 \h </w:instrText>
            </w:r>
            <w:r w:rsidR="00F15FDA">
              <w:rPr>
                <w:noProof/>
                <w:webHidden/>
              </w:rPr>
            </w:r>
            <w:r w:rsidR="00F15FDA">
              <w:rPr>
                <w:noProof/>
                <w:webHidden/>
              </w:rPr>
              <w:fldChar w:fldCharType="separate"/>
            </w:r>
            <w:r w:rsidR="00B64662">
              <w:rPr>
                <w:noProof/>
                <w:webHidden/>
              </w:rPr>
              <w:t>2</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73"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Mõisteid käsitleva artikli 1 kommentaarid</w:t>
            </w:r>
            <w:r w:rsidR="00B64662">
              <w:rPr>
                <w:noProof/>
                <w:webHidden/>
              </w:rPr>
              <w:tab/>
            </w:r>
            <w:r w:rsidR="00F15FDA">
              <w:rPr>
                <w:noProof/>
                <w:webHidden/>
              </w:rPr>
              <w:fldChar w:fldCharType="begin"/>
            </w:r>
            <w:r w:rsidR="00B64662">
              <w:rPr>
                <w:noProof/>
                <w:webHidden/>
              </w:rPr>
              <w:instrText xml:space="preserve"> PAGEREF _Toc420331873 \h </w:instrText>
            </w:r>
            <w:r w:rsidR="00F15FDA">
              <w:rPr>
                <w:noProof/>
                <w:webHidden/>
              </w:rPr>
            </w:r>
            <w:r w:rsidR="00F15FDA">
              <w:rPr>
                <w:noProof/>
                <w:webHidden/>
              </w:rPr>
              <w:fldChar w:fldCharType="separate"/>
            </w:r>
            <w:r w:rsidR="00B64662">
              <w:rPr>
                <w:noProof/>
                <w:webHidden/>
              </w:rPr>
              <w:t>2</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74" w:history="1">
            <w:r w:rsidR="00B64662" w:rsidRPr="003A60BC">
              <w:rPr>
                <w:rStyle w:val="Hperlink"/>
                <w:noProof/>
              </w:rPr>
              <w:t>Artikkel 1 – mõisted</w:t>
            </w:r>
            <w:r w:rsidR="00B64662">
              <w:rPr>
                <w:noProof/>
                <w:webHidden/>
              </w:rPr>
              <w:tab/>
            </w:r>
            <w:r w:rsidR="00F15FDA">
              <w:rPr>
                <w:noProof/>
                <w:webHidden/>
              </w:rPr>
              <w:fldChar w:fldCharType="begin"/>
            </w:r>
            <w:r w:rsidR="00B64662">
              <w:rPr>
                <w:noProof/>
                <w:webHidden/>
              </w:rPr>
              <w:instrText xml:space="preserve"> PAGEREF _Toc420331874 \h </w:instrText>
            </w:r>
            <w:r w:rsidR="00F15FDA">
              <w:rPr>
                <w:noProof/>
                <w:webHidden/>
              </w:rPr>
            </w:r>
            <w:r w:rsidR="00F15FDA">
              <w:rPr>
                <w:noProof/>
                <w:webHidden/>
              </w:rPr>
              <w:fldChar w:fldCharType="separate"/>
            </w:r>
            <w:r w:rsidR="00B64662">
              <w:rPr>
                <w:noProof/>
                <w:webHidden/>
              </w:rPr>
              <w:t>2</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75" w:history="1">
            <w:r w:rsidR="00B64662" w:rsidRPr="003A60BC">
              <w:rPr>
                <w:rStyle w:val="Hperlink"/>
                <w:noProof/>
              </w:rPr>
              <w:t>Artikkel 2 – tõlgendamise üldreegel</w:t>
            </w:r>
            <w:r w:rsidR="00B64662">
              <w:rPr>
                <w:noProof/>
                <w:webHidden/>
              </w:rPr>
              <w:tab/>
            </w:r>
            <w:r w:rsidR="00F15FDA">
              <w:rPr>
                <w:noProof/>
                <w:webHidden/>
              </w:rPr>
              <w:fldChar w:fldCharType="begin"/>
            </w:r>
            <w:r w:rsidR="00B64662">
              <w:rPr>
                <w:noProof/>
                <w:webHidden/>
              </w:rPr>
              <w:instrText xml:space="preserve"> PAGEREF _Toc420331875 \h </w:instrText>
            </w:r>
            <w:r w:rsidR="00F15FDA">
              <w:rPr>
                <w:noProof/>
                <w:webHidden/>
              </w:rPr>
            </w:r>
            <w:r w:rsidR="00F15FDA">
              <w:rPr>
                <w:noProof/>
                <w:webHidden/>
              </w:rPr>
              <w:fldChar w:fldCharType="separate"/>
            </w:r>
            <w:r w:rsidR="00B64662">
              <w:rPr>
                <w:noProof/>
                <w:webHidden/>
              </w:rPr>
              <w:t>4</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76"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Avaldatavate kontodega seotud teabe vahetust käsitleva artikli 2 kommentaarid</w:t>
            </w:r>
            <w:r w:rsidR="00B64662">
              <w:rPr>
                <w:noProof/>
                <w:webHidden/>
              </w:rPr>
              <w:tab/>
            </w:r>
            <w:r w:rsidR="00F15FDA">
              <w:rPr>
                <w:noProof/>
                <w:webHidden/>
              </w:rPr>
              <w:fldChar w:fldCharType="begin"/>
            </w:r>
            <w:r w:rsidR="00B64662">
              <w:rPr>
                <w:noProof/>
                <w:webHidden/>
              </w:rPr>
              <w:instrText xml:space="preserve"> PAGEREF _Toc420331876 \h </w:instrText>
            </w:r>
            <w:r w:rsidR="00F15FDA">
              <w:rPr>
                <w:noProof/>
                <w:webHidden/>
              </w:rPr>
            </w:r>
            <w:r w:rsidR="00F15FDA">
              <w:rPr>
                <w:noProof/>
                <w:webHidden/>
              </w:rPr>
              <w:fldChar w:fldCharType="separate"/>
            </w:r>
            <w:r w:rsidR="00B64662">
              <w:rPr>
                <w:noProof/>
                <w:webHidden/>
              </w:rPr>
              <w:t>4</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77"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Teabe vahetamise aega ja viisi käsitleva artikli 3 kommentaarid</w:t>
            </w:r>
            <w:r w:rsidR="00B64662">
              <w:rPr>
                <w:noProof/>
                <w:webHidden/>
              </w:rPr>
              <w:tab/>
            </w:r>
            <w:r w:rsidR="00F15FDA">
              <w:rPr>
                <w:noProof/>
                <w:webHidden/>
              </w:rPr>
              <w:fldChar w:fldCharType="begin"/>
            </w:r>
            <w:r w:rsidR="00B64662">
              <w:rPr>
                <w:noProof/>
                <w:webHidden/>
              </w:rPr>
              <w:instrText xml:space="preserve"> PAGEREF _Toc420331877 \h </w:instrText>
            </w:r>
            <w:r w:rsidR="00F15FDA">
              <w:rPr>
                <w:noProof/>
                <w:webHidden/>
              </w:rPr>
            </w:r>
            <w:r w:rsidR="00F15FDA">
              <w:rPr>
                <w:noProof/>
                <w:webHidden/>
              </w:rPr>
              <w:fldChar w:fldCharType="separate"/>
            </w:r>
            <w:r w:rsidR="00B64662">
              <w:rPr>
                <w:noProof/>
                <w:webHidden/>
              </w:rPr>
              <w:t>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78" w:history="1">
            <w:r w:rsidR="00B64662" w:rsidRPr="003A60BC">
              <w:rPr>
                <w:rStyle w:val="Hperlink"/>
                <w:noProof/>
              </w:rPr>
              <w:t>Lõiked 1 ja 2 – väljamaksete summa, liik ja valuuta</w:t>
            </w:r>
            <w:r w:rsidR="00B64662">
              <w:rPr>
                <w:noProof/>
                <w:webHidden/>
              </w:rPr>
              <w:tab/>
            </w:r>
            <w:r w:rsidR="00F15FDA">
              <w:rPr>
                <w:noProof/>
                <w:webHidden/>
              </w:rPr>
              <w:fldChar w:fldCharType="begin"/>
            </w:r>
            <w:r w:rsidR="00B64662">
              <w:rPr>
                <w:noProof/>
                <w:webHidden/>
              </w:rPr>
              <w:instrText xml:space="preserve"> PAGEREF _Toc420331878 \h </w:instrText>
            </w:r>
            <w:r w:rsidR="00F15FDA">
              <w:rPr>
                <w:noProof/>
                <w:webHidden/>
              </w:rPr>
            </w:r>
            <w:r w:rsidR="00F15FDA">
              <w:rPr>
                <w:noProof/>
                <w:webHidden/>
              </w:rPr>
              <w:fldChar w:fldCharType="separate"/>
            </w:r>
            <w:r w:rsidR="00B64662">
              <w:rPr>
                <w:noProof/>
                <w:webHidden/>
              </w:rPr>
              <w:t>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79" w:history="1">
            <w:r w:rsidR="00B64662" w:rsidRPr="003A60BC">
              <w:rPr>
                <w:rStyle w:val="Hperlink"/>
                <w:noProof/>
              </w:rPr>
              <w:t>Lõiked 3 ja 4 – teabe vahetamise aeg</w:t>
            </w:r>
            <w:r w:rsidR="00B64662">
              <w:rPr>
                <w:noProof/>
                <w:webHidden/>
              </w:rPr>
              <w:tab/>
            </w:r>
            <w:r w:rsidR="00F15FDA">
              <w:rPr>
                <w:noProof/>
                <w:webHidden/>
              </w:rPr>
              <w:fldChar w:fldCharType="begin"/>
            </w:r>
            <w:r w:rsidR="00B64662">
              <w:rPr>
                <w:noProof/>
                <w:webHidden/>
              </w:rPr>
              <w:instrText xml:space="preserve"> PAGEREF _Toc420331879 \h </w:instrText>
            </w:r>
            <w:r w:rsidR="00F15FDA">
              <w:rPr>
                <w:noProof/>
                <w:webHidden/>
              </w:rPr>
            </w:r>
            <w:r w:rsidR="00F15FDA">
              <w:rPr>
                <w:noProof/>
                <w:webHidden/>
              </w:rPr>
              <w:fldChar w:fldCharType="separate"/>
            </w:r>
            <w:r w:rsidR="00B64662">
              <w:rPr>
                <w:noProof/>
                <w:webHidden/>
              </w:rPr>
              <w:t>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0" w:history="1">
            <w:r w:rsidR="00B64662" w:rsidRPr="003A60BC">
              <w:rPr>
                <w:rStyle w:val="Hperlink"/>
                <w:noProof/>
              </w:rPr>
              <w:t>Lõiked 5 ja 6 – infotehnoloogia vahendid</w:t>
            </w:r>
            <w:r w:rsidR="00B64662">
              <w:rPr>
                <w:noProof/>
                <w:webHidden/>
              </w:rPr>
              <w:tab/>
            </w:r>
            <w:r w:rsidR="00F15FDA">
              <w:rPr>
                <w:noProof/>
                <w:webHidden/>
              </w:rPr>
              <w:fldChar w:fldCharType="begin"/>
            </w:r>
            <w:r w:rsidR="00B64662">
              <w:rPr>
                <w:noProof/>
                <w:webHidden/>
              </w:rPr>
              <w:instrText xml:space="preserve"> PAGEREF _Toc420331880 \h </w:instrText>
            </w:r>
            <w:r w:rsidR="00F15FDA">
              <w:rPr>
                <w:noProof/>
                <w:webHidden/>
              </w:rPr>
            </w:r>
            <w:r w:rsidR="00F15FDA">
              <w:rPr>
                <w:noProof/>
                <w:webHidden/>
              </w:rPr>
              <w:fldChar w:fldCharType="separate"/>
            </w:r>
            <w:r w:rsidR="00B64662">
              <w:rPr>
                <w:noProof/>
                <w:webHidden/>
              </w:rPr>
              <w:t>6</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81"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Maksukuulekust ja nõuete täitmisega seotud koostööd käsitleva artikli 4 kommentaarid</w:t>
            </w:r>
            <w:r w:rsidR="00B64662">
              <w:rPr>
                <w:noProof/>
                <w:webHidden/>
              </w:rPr>
              <w:tab/>
            </w:r>
            <w:r w:rsidR="00F15FDA">
              <w:rPr>
                <w:noProof/>
                <w:webHidden/>
              </w:rPr>
              <w:fldChar w:fldCharType="begin"/>
            </w:r>
            <w:r w:rsidR="00B64662">
              <w:rPr>
                <w:noProof/>
                <w:webHidden/>
              </w:rPr>
              <w:instrText xml:space="preserve"> PAGEREF _Toc420331881 \h </w:instrText>
            </w:r>
            <w:r w:rsidR="00F15FDA">
              <w:rPr>
                <w:noProof/>
                <w:webHidden/>
              </w:rPr>
            </w:r>
            <w:r w:rsidR="00F15FDA">
              <w:rPr>
                <w:noProof/>
                <w:webHidden/>
              </w:rPr>
              <w:fldChar w:fldCharType="separate"/>
            </w:r>
            <w:r w:rsidR="00B64662">
              <w:rPr>
                <w:noProof/>
                <w:webHidden/>
              </w:rPr>
              <w:t>8</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82"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Konfidentsiaalsust ja andmekaitset käsitleva artikli 5 kommentaarid</w:t>
            </w:r>
            <w:r w:rsidR="00B64662">
              <w:rPr>
                <w:noProof/>
                <w:webHidden/>
              </w:rPr>
              <w:tab/>
            </w:r>
            <w:r w:rsidR="00F15FDA">
              <w:rPr>
                <w:noProof/>
                <w:webHidden/>
              </w:rPr>
              <w:fldChar w:fldCharType="begin"/>
            </w:r>
            <w:r w:rsidR="00B64662">
              <w:rPr>
                <w:noProof/>
                <w:webHidden/>
              </w:rPr>
              <w:instrText xml:space="preserve"> PAGEREF _Toc420331882 \h </w:instrText>
            </w:r>
            <w:r w:rsidR="00F15FDA">
              <w:rPr>
                <w:noProof/>
                <w:webHidden/>
              </w:rPr>
            </w:r>
            <w:r w:rsidR="00F15FDA">
              <w:rPr>
                <w:noProof/>
                <w:webHidden/>
              </w:rPr>
              <w:fldChar w:fldCharType="separate"/>
            </w:r>
            <w:r w:rsidR="00B64662">
              <w:rPr>
                <w:noProof/>
                <w:webHidden/>
              </w:rPr>
              <w:t>9</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3" w:history="1">
            <w:r w:rsidR="00B64662" w:rsidRPr="003A60BC">
              <w:rPr>
                <w:rStyle w:val="Hperlink"/>
                <w:noProof/>
              </w:rPr>
              <w:t>Lõige 1 – konfidentsiaalsus, sealhulgas isikuandmete kaitse</w:t>
            </w:r>
            <w:r w:rsidR="00B64662">
              <w:rPr>
                <w:noProof/>
                <w:webHidden/>
              </w:rPr>
              <w:tab/>
            </w:r>
            <w:r w:rsidR="00F15FDA">
              <w:rPr>
                <w:noProof/>
                <w:webHidden/>
              </w:rPr>
              <w:fldChar w:fldCharType="begin"/>
            </w:r>
            <w:r w:rsidR="00B64662">
              <w:rPr>
                <w:noProof/>
                <w:webHidden/>
              </w:rPr>
              <w:instrText xml:space="preserve"> PAGEREF _Toc420331883 \h </w:instrText>
            </w:r>
            <w:r w:rsidR="00F15FDA">
              <w:rPr>
                <w:noProof/>
                <w:webHidden/>
              </w:rPr>
            </w:r>
            <w:r w:rsidR="00F15FDA">
              <w:rPr>
                <w:noProof/>
                <w:webHidden/>
              </w:rPr>
              <w:fldChar w:fldCharType="separate"/>
            </w:r>
            <w:r w:rsidR="00B64662">
              <w:rPr>
                <w:noProof/>
                <w:webHidden/>
              </w:rPr>
              <w:t>9</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4" w:history="1">
            <w:r w:rsidR="00B64662" w:rsidRPr="003A60BC">
              <w:rPr>
                <w:rStyle w:val="Hperlink"/>
                <w:noProof/>
              </w:rPr>
              <w:t>Lõige 2 – konfidentsiaalsusnõude rikkumine</w:t>
            </w:r>
            <w:r w:rsidR="00B64662">
              <w:rPr>
                <w:noProof/>
                <w:webHidden/>
              </w:rPr>
              <w:tab/>
            </w:r>
            <w:r w:rsidR="00F15FDA">
              <w:rPr>
                <w:noProof/>
                <w:webHidden/>
              </w:rPr>
              <w:fldChar w:fldCharType="begin"/>
            </w:r>
            <w:r w:rsidR="00B64662">
              <w:rPr>
                <w:noProof/>
                <w:webHidden/>
              </w:rPr>
              <w:instrText xml:space="preserve"> PAGEREF _Toc420331884 \h </w:instrText>
            </w:r>
            <w:r w:rsidR="00F15FDA">
              <w:rPr>
                <w:noProof/>
                <w:webHidden/>
              </w:rPr>
            </w:r>
            <w:r w:rsidR="00F15FDA">
              <w:rPr>
                <w:noProof/>
                <w:webHidden/>
              </w:rPr>
              <w:fldChar w:fldCharType="separate"/>
            </w:r>
            <w:r w:rsidR="00B64662">
              <w:rPr>
                <w:noProof/>
                <w:webHidden/>
              </w:rPr>
              <w:t>10</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85"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Konsultatsioone ja muudatusi käsitleva artikli 6 kommentaarid</w:t>
            </w:r>
            <w:r w:rsidR="00B64662">
              <w:rPr>
                <w:noProof/>
                <w:webHidden/>
              </w:rPr>
              <w:tab/>
            </w:r>
            <w:r w:rsidR="00F15FDA">
              <w:rPr>
                <w:noProof/>
                <w:webHidden/>
              </w:rPr>
              <w:fldChar w:fldCharType="begin"/>
            </w:r>
            <w:r w:rsidR="00B64662">
              <w:rPr>
                <w:noProof/>
                <w:webHidden/>
              </w:rPr>
              <w:instrText xml:space="preserve"> PAGEREF _Toc420331885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6" w:history="1">
            <w:r w:rsidR="00B64662" w:rsidRPr="003A60BC">
              <w:rPr>
                <w:rStyle w:val="Hperlink"/>
                <w:noProof/>
              </w:rPr>
              <w:t>Lõige 1 – konsultatsioonid</w:t>
            </w:r>
            <w:r w:rsidR="00B64662">
              <w:rPr>
                <w:noProof/>
                <w:webHidden/>
              </w:rPr>
              <w:tab/>
            </w:r>
            <w:r w:rsidR="00F15FDA">
              <w:rPr>
                <w:noProof/>
                <w:webHidden/>
              </w:rPr>
              <w:fldChar w:fldCharType="begin"/>
            </w:r>
            <w:r w:rsidR="00B64662">
              <w:rPr>
                <w:noProof/>
                <w:webHidden/>
              </w:rPr>
              <w:instrText xml:space="preserve"> PAGEREF _Toc420331886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7" w:history="1">
            <w:r w:rsidR="00B64662" w:rsidRPr="003A60BC">
              <w:rPr>
                <w:rStyle w:val="Hperlink"/>
                <w:noProof/>
              </w:rPr>
              <w:t>Lõige 2 – muudatused</w:t>
            </w:r>
            <w:r w:rsidR="00B64662">
              <w:rPr>
                <w:noProof/>
                <w:webHidden/>
              </w:rPr>
              <w:tab/>
            </w:r>
            <w:r w:rsidR="00F15FDA">
              <w:rPr>
                <w:noProof/>
                <w:webHidden/>
              </w:rPr>
              <w:fldChar w:fldCharType="begin"/>
            </w:r>
            <w:r w:rsidR="00B64662">
              <w:rPr>
                <w:noProof/>
                <w:webHidden/>
              </w:rPr>
              <w:instrText xml:space="preserve"> PAGEREF _Toc420331887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88"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Lepingu tähtaega käsitleva artikli 7 kommentaarid</w:t>
            </w:r>
            <w:r w:rsidR="00B64662">
              <w:rPr>
                <w:noProof/>
                <w:webHidden/>
              </w:rPr>
              <w:tab/>
            </w:r>
            <w:r w:rsidR="00F15FDA">
              <w:rPr>
                <w:noProof/>
                <w:webHidden/>
              </w:rPr>
              <w:fldChar w:fldCharType="begin"/>
            </w:r>
            <w:r w:rsidR="00B64662">
              <w:rPr>
                <w:noProof/>
                <w:webHidden/>
              </w:rPr>
              <w:instrText xml:space="preserve"> PAGEREF _Toc420331888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89" w:history="1">
            <w:r w:rsidR="00B64662" w:rsidRPr="003A60BC">
              <w:rPr>
                <w:rStyle w:val="Hperlink"/>
                <w:noProof/>
              </w:rPr>
              <w:t>Lõige 1 – lepingu jõustumine</w:t>
            </w:r>
            <w:r w:rsidR="00B64662">
              <w:rPr>
                <w:noProof/>
                <w:webHidden/>
              </w:rPr>
              <w:tab/>
            </w:r>
            <w:r w:rsidR="00F15FDA">
              <w:rPr>
                <w:noProof/>
                <w:webHidden/>
              </w:rPr>
              <w:fldChar w:fldCharType="begin"/>
            </w:r>
            <w:r w:rsidR="00B64662">
              <w:rPr>
                <w:noProof/>
                <w:webHidden/>
              </w:rPr>
              <w:instrText xml:space="preserve"> PAGEREF _Toc420331889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0" w:history="1">
            <w:r w:rsidR="00B64662" w:rsidRPr="003A60BC">
              <w:rPr>
                <w:rStyle w:val="Hperlink"/>
                <w:noProof/>
              </w:rPr>
              <w:t>Lõige 2 – peatamine</w:t>
            </w:r>
            <w:r w:rsidR="00B64662">
              <w:rPr>
                <w:noProof/>
                <w:webHidden/>
              </w:rPr>
              <w:tab/>
            </w:r>
            <w:r w:rsidR="00F15FDA">
              <w:rPr>
                <w:noProof/>
                <w:webHidden/>
              </w:rPr>
              <w:fldChar w:fldCharType="begin"/>
            </w:r>
            <w:r w:rsidR="00B64662">
              <w:rPr>
                <w:noProof/>
                <w:webHidden/>
              </w:rPr>
              <w:instrText xml:space="preserve"> PAGEREF _Toc420331890 \h </w:instrText>
            </w:r>
            <w:r w:rsidR="00F15FDA">
              <w:rPr>
                <w:noProof/>
                <w:webHidden/>
              </w:rPr>
            </w:r>
            <w:r w:rsidR="00F15FDA">
              <w:rPr>
                <w:noProof/>
                <w:webHidden/>
              </w:rPr>
              <w:fldChar w:fldCharType="separate"/>
            </w:r>
            <w:r w:rsidR="00B64662">
              <w:rPr>
                <w:noProof/>
                <w:webHidden/>
              </w:rPr>
              <w:t>16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1" w:history="1">
            <w:r w:rsidR="00B64662" w:rsidRPr="003A60BC">
              <w:rPr>
                <w:rStyle w:val="Hperlink"/>
                <w:noProof/>
              </w:rPr>
              <w:t>Lõige 3 – lõpetamine</w:t>
            </w:r>
            <w:r w:rsidR="00B64662">
              <w:rPr>
                <w:noProof/>
                <w:webHidden/>
              </w:rPr>
              <w:tab/>
            </w:r>
            <w:r w:rsidR="00F15FDA">
              <w:rPr>
                <w:noProof/>
                <w:webHidden/>
              </w:rPr>
              <w:fldChar w:fldCharType="begin"/>
            </w:r>
            <w:r w:rsidR="00B64662">
              <w:rPr>
                <w:noProof/>
                <w:webHidden/>
              </w:rPr>
              <w:instrText xml:space="preserve"> PAGEREF _Toc420331891 \h </w:instrText>
            </w:r>
            <w:r w:rsidR="00F15FDA">
              <w:rPr>
                <w:noProof/>
                <w:webHidden/>
              </w:rPr>
            </w:r>
            <w:r w:rsidR="00F15FDA">
              <w:rPr>
                <w:noProof/>
                <w:webHidden/>
              </w:rPr>
              <w:fldChar w:fldCharType="separate"/>
            </w:r>
            <w:r w:rsidR="00B64662">
              <w:rPr>
                <w:noProof/>
                <w:webHidden/>
              </w:rPr>
              <w:t>17</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92" w:history="1">
            <w:r w:rsidR="00B64662" w:rsidRPr="003A60BC">
              <w:rPr>
                <w:rStyle w:val="Hperlink"/>
                <w:noProof/>
              </w:rPr>
              <w:t>B. Ühtse aruandluse standardi kommentaarid</w:t>
            </w:r>
            <w:r w:rsidR="00B64662">
              <w:rPr>
                <w:noProof/>
                <w:webHidden/>
              </w:rPr>
              <w:tab/>
            </w:r>
            <w:r w:rsidR="00F15FDA">
              <w:rPr>
                <w:noProof/>
                <w:webHidden/>
              </w:rPr>
              <w:fldChar w:fldCharType="begin"/>
            </w:r>
            <w:r w:rsidR="00B64662">
              <w:rPr>
                <w:noProof/>
                <w:webHidden/>
              </w:rPr>
              <w:instrText xml:space="preserve"> PAGEREF _Toc420331892 \h </w:instrText>
            </w:r>
            <w:r w:rsidR="00F15FDA">
              <w:rPr>
                <w:noProof/>
                <w:webHidden/>
              </w:rPr>
            </w:r>
            <w:r w:rsidR="00F15FDA">
              <w:rPr>
                <w:noProof/>
                <w:webHidden/>
              </w:rPr>
              <w:fldChar w:fldCharType="separate"/>
            </w:r>
            <w:r w:rsidR="00B64662">
              <w:rPr>
                <w:noProof/>
                <w:webHidden/>
              </w:rPr>
              <w:t>18</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93"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Sissejuhatus</w:t>
            </w:r>
            <w:r w:rsidR="00B64662">
              <w:rPr>
                <w:noProof/>
                <w:webHidden/>
              </w:rPr>
              <w:tab/>
            </w:r>
            <w:r w:rsidR="00F15FDA">
              <w:rPr>
                <w:noProof/>
                <w:webHidden/>
              </w:rPr>
              <w:fldChar w:fldCharType="begin"/>
            </w:r>
            <w:r w:rsidR="00B64662">
              <w:rPr>
                <w:noProof/>
                <w:webHidden/>
              </w:rPr>
              <w:instrText xml:space="preserve"> PAGEREF _Toc420331893 \h </w:instrText>
            </w:r>
            <w:r w:rsidR="00F15FDA">
              <w:rPr>
                <w:noProof/>
                <w:webHidden/>
              </w:rPr>
            </w:r>
            <w:r w:rsidR="00F15FDA">
              <w:rPr>
                <w:noProof/>
                <w:webHidden/>
              </w:rPr>
              <w:fldChar w:fldCharType="separate"/>
            </w:r>
            <w:r w:rsidR="00B64662">
              <w:rPr>
                <w:noProof/>
                <w:webHidden/>
              </w:rPr>
              <w:t>18</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94" w:history="1">
            <w:r w:rsidR="00B64662" w:rsidRPr="003A60BC">
              <w:rPr>
                <w:rStyle w:val="Hperlink"/>
                <w:noProof/>
              </w:rPr>
              <w:t>Aruandluse üldnõudeid käsitleva I osa kommentaarid</w:t>
            </w:r>
            <w:r w:rsidR="00B64662">
              <w:rPr>
                <w:noProof/>
                <w:webHidden/>
              </w:rPr>
              <w:tab/>
            </w:r>
            <w:r w:rsidR="00F15FDA">
              <w:rPr>
                <w:noProof/>
                <w:webHidden/>
              </w:rPr>
              <w:fldChar w:fldCharType="begin"/>
            </w:r>
            <w:r w:rsidR="00B64662">
              <w:rPr>
                <w:noProof/>
                <w:webHidden/>
              </w:rPr>
              <w:instrText xml:space="preserve"> PAGEREF _Toc420331894 \h </w:instrText>
            </w:r>
            <w:r w:rsidR="00F15FDA">
              <w:rPr>
                <w:noProof/>
                <w:webHidden/>
              </w:rPr>
            </w:r>
            <w:r w:rsidR="00F15FDA">
              <w:rPr>
                <w:noProof/>
                <w:webHidden/>
              </w:rPr>
              <w:fldChar w:fldCharType="separate"/>
            </w:r>
            <w:r w:rsidR="00B64662">
              <w:rPr>
                <w:noProof/>
                <w:webHidden/>
              </w:rPr>
              <w:t>18</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5" w:history="1">
            <w:r w:rsidR="00B64662" w:rsidRPr="003A60BC">
              <w:rPr>
                <w:rStyle w:val="Hperlink"/>
                <w:noProof/>
              </w:rPr>
              <w:t>Lõige A – edastatav teave</w:t>
            </w:r>
            <w:r w:rsidR="00B64662">
              <w:rPr>
                <w:noProof/>
                <w:webHidden/>
              </w:rPr>
              <w:tab/>
            </w:r>
            <w:r w:rsidR="00F15FDA">
              <w:rPr>
                <w:noProof/>
                <w:webHidden/>
              </w:rPr>
              <w:fldChar w:fldCharType="begin"/>
            </w:r>
            <w:r w:rsidR="00B64662">
              <w:rPr>
                <w:noProof/>
                <w:webHidden/>
              </w:rPr>
              <w:instrText xml:space="preserve"> PAGEREF _Toc420331895 \h </w:instrText>
            </w:r>
            <w:r w:rsidR="00F15FDA">
              <w:rPr>
                <w:noProof/>
                <w:webHidden/>
              </w:rPr>
            </w:r>
            <w:r w:rsidR="00F15FDA">
              <w:rPr>
                <w:noProof/>
                <w:webHidden/>
              </w:rPr>
              <w:fldChar w:fldCharType="separate"/>
            </w:r>
            <w:r w:rsidR="00B64662">
              <w:rPr>
                <w:noProof/>
                <w:webHidden/>
              </w:rPr>
              <w:t>18</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6" w:history="1">
            <w:r w:rsidR="00B64662" w:rsidRPr="003A60BC">
              <w:rPr>
                <w:rStyle w:val="Hperlink"/>
                <w:noProof/>
              </w:rPr>
              <w:t>Lõige B – valuuta</w:t>
            </w:r>
            <w:r w:rsidR="00B64662">
              <w:rPr>
                <w:noProof/>
                <w:webHidden/>
              </w:rPr>
              <w:tab/>
            </w:r>
            <w:r w:rsidR="00F15FDA">
              <w:rPr>
                <w:noProof/>
                <w:webHidden/>
              </w:rPr>
              <w:fldChar w:fldCharType="begin"/>
            </w:r>
            <w:r w:rsidR="00B64662">
              <w:rPr>
                <w:noProof/>
                <w:webHidden/>
              </w:rPr>
              <w:instrText xml:space="preserve"> PAGEREF _Toc420331896 \h </w:instrText>
            </w:r>
            <w:r w:rsidR="00F15FDA">
              <w:rPr>
                <w:noProof/>
                <w:webHidden/>
              </w:rPr>
            </w:r>
            <w:r w:rsidR="00F15FDA">
              <w:rPr>
                <w:noProof/>
                <w:webHidden/>
              </w:rPr>
              <w:fldChar w:fldCharType="separate"/>
            </w:r>
            <w:r w:rsidR="00B64662">
              <w:rPr>
                <w:noProof/>
                <w:webHidden/>
              </w:rPr>
              <w:t>23</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7" w:history="1">
            <w:r w:rsidR="00B64662" w:rsidRPr="003A60BC">
              <w:rPr>
                <w:rStyle w:val="Hperlink"/>
                <w:noProof/>
              </w:rPr>
              <w:t>Lõiked C kuni F – erandid</w:t>
            </w:r>
            <w:r w:rsidR="00B64662">
              <w:rPr>
                <w:noProof/>
                <w:webHidden/>
              </w:rPr>
              <w:tab/>
            </w:r>
            <w:r w:rsidR="00F15FDA">
              <w:rPr>
                <w:noProof/>
                <w:webHidden/>
              </w:rPr>
              <w:fldChar w:fldCharType="begin"/>
            </w:r>
            <w:r w:rsidR="00B64662">
              <w:rPr>
                <w:noProof/>
                <w:webHidden/>
              </w:rPr>
              <w:instrText xml:space="preserve"> PAGEREF _Toc420331897 \h </w:instrText>
            </w:r>
            <w:r w:rsidR="00F15FDA">
              <w:rPr>
                <w:noProof/>
                <w:webHidden/>
              </w:rPr>
            </w:r>
            <w:r w:rsidR="00F15FDA">
              <w:rPr>
                <w:noProof/>
                <w:webHidden/>
              </w:rPr>
              <w:fldChar w:fldCharType="separate"/>
            </w:r>
            <w:r w:rsidR="00B64662">
              <w:rPr>
                <w:noProof/>
                <w:webHidden/>
              </w:rPr>
              <w:t>24</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898"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Üldiseid hoolsusmeetmeid käsitleva II osa kommentaarid</w:t>
            </w:r>
            <w:r w:rsidR="00B64662">
              <w:rPr>
                <w:noProof/>
                <w:webHidden/>
              </w:rPr>
              <w:tab/>
            </w:r>
            <w:r w:rsidR="00F15FDA">
              <w:rPr>
                <w:noProof/>
                <w:webHidden/>
              </w:rPr>
              <w:fldChar w:fldCharType="begin"/>
            </w:r>
            <w:r w:rsidR="00B64662">
              <w:rPr>
                <w:noProof/>
                <w:webHidden/>
              </w:rPr>
              <w:instrText xml:space="preserve"> PAGEREF _Toc420331898 \h </w:instrText>
            </w:r>
            <w:r w:rsidR="00F15FDA">
              <w:rPr>
                <w:noProof/>
                <w:webHidden/>
              </w:rPr>
            </w:r>
            <w:r w:rsidR="00F15FDA">
              <w:rPr>
                <w:noProof/>
                <w:webHidden/>
              </w:rPr>
              <w:fldChar w:fldCharType="separate"/>
            </w:r>
            <w:r w:rsidR="00B64662">
              <w:rPr>
                <w:noProof/>
                <w:webHidden/>
              </w:rPr>
              <w:t>26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899" w:history="1">
            <w:r w:rsidR="00B64662" w:rsidRPr="003A60BC">
              <w:rPr>
                <w:rStyle w:val="Hperlink"/>
                <w:noProof/>
              </w:rPr>
              <w:t>Lõiked A kuni C – üldised hoolsusmeetmed</w:t>
            </w:r>
            <w:r w:rsidR="00B64662">
              <w:rPr>
                <w:noProof/>
                <w:webHidden/>
              </w:rPr>
              <w:tab/>
            </w:r>
            <w:r w:rsidR="00F15FDA">
              <w:rPr>
                <w:noProof/>
                <w:webHidden/>
              </w:rPr>
              <w:fldChar w:fldCharType="begin"/>
            </w:r>
            <w:r w:rsidR="00B64662">
              <w:rPr>
                <w:noProof/>
                <w:webHidden/>
              </w:rPr>
              <w:instrText xml:space="preserve"> PAGEREF _Toc420331899 \h </w:instrText>
            </w:r>
            <w:r w:rsidR="00F15FDA">
              <w:rPr>
                <w:noProof/>
                <w:webHidden/>
              </w:rPr>
            </w:r>
            <w:r w:rsidR="00F15FDA">
              <w:rPr>
                <w:noProof/>
                <w:webHidden/>
              </w:rPr>
              <w:fldChar w:fldCharType="separate"/>
            </w:r>
            <w:r w:rsidR="00B64662">
              <w:rPr>
                <w:noProof/>
                <w:webHidden/>
              </w:rPr>
              <w:t>26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0" w:history="1">
            <w:r w:rsidR="00B64662" w:rsidRPr="003A60BC">
              <w:rPr>
                <w:rStyle w:val="Hperlink"/>
                <w:noProof/>
              </w:rPr>
              <w:t>Lõige D – teenusepakkujatele tuginemine</w:t>
            </w:r>
            <w:r w:rsidR="00B64662">
              <w:rPr>
                <w:noProof/>
                <w:webHidden/>
              </w:rPr>
              <w:tab/>
            </w:r>
            <w:r w:rsidR="00F15FDA">
              <w:rPr>
                <w:noProof/>
                <w:webHidden/>
              </w:rPr>
              <w:fldChar w:fldCharType="begin"/>
            </w:r>
            <w:r w:rsidR="00B64662">
              <w:rPr>
                <w:noProof/>
                <w:webHidden/>
              </w:rPr>
              <w:instrText xml:space="preserve"> PAGEREF _Toc420331900 \h </w:instrText>
            </w:r>
            <w:r w:rsidR="00F15FDA">
              <w:rPr>
                <w:noProof/>
                <w:webHidden/>
              </w:rPr>
            </w:r>
            <w:r w:rsidR="00F15FDA">
              <w:rPr>
                <w:noProof/>
                <w:webHidden/>
              </w:rPr>
              <w:fldChar w:fldCharType="separate"/>
            </w:r>
            <w:r w:rsidR="00B64662">
              <w:rPr>
                <w:noProof/>
                <w:webHidden/>
              </w:rPr>
              <w:t>27</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1" w:history="1">
            <w:r w:rsidR="00B64662" w:rsidRPr="003A60BC">
              <w:rPr>
                <w:rStyle w:val="Hperlink"/>
                <w:noProof/>
              </w:rPr>
              <w:t>Lõige E – alternatiivsed hoolsusmeetmed olemasolevate kontode jaoks</w:t>
            </w:r>
            <w:r w:rsidR="00B64662">
              <w:rPr>
                <w:noProof/>
                <w:webHidden/>
              </w:rPr>
              <w:tab/>
            </w:r>
            <w:r w:rsidR="00F15FDA">
              <w:rPr>
                <w:noProof/>
                <w:webHidden/>
              </w:rPr>
              <w:fldChar w:fldCharType="begin"/>
            </w:r>
            <w:r w:rsidR="00B64662">
              <w:rPr>
                <w:noProof/>
                <w:webHidden/>
              </w:rPr>
              <w:instrText xml:space="preserve"> PAGEREF _Toc420331901 \h </w:instrText>
            </w:r>
            <w:r w:rsidR="00F15FDA">
              <w:rPr>
                <w:noProof/>
                <w:webHidden/>
              </w:rPr>
            </w:r>
            <w:r w:rsidR="00F15FDA">
              <w:rPr>
                <w:noProof/>
                <w:webHidden/>
              </w:rPr>
              <w:fldChar w:fldCharType="separate"/>
            </w:r>
            <w:r w:rsidR="00B64662">
              <w:rPr>
                <w:noProof/>
                <w:webHidden/>
              </w:rPr>
              <w:t>28</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02" w:history="1">
            <w:r w:rsidR="00B64662" w:rsidRPr="003A60BC">
              <w:rPr>
                <w:rStyle w:val="Hperlink"/>
                <w:noProof/>
              </w:rPr>
              <w:t>Füüsilise isiku olemasolevate kontodega seotud hoolsusmeetmeid käsitleva III osa kommentaarid</w:t>
            </w:r>
            <w:r w:rsidR="00B64662">
              <w:rPr>
                <w:noProof/>
                <w:webHidden/>
              </w:rPr>
              <w:tab/>
            </w:r>
            <w:r w:rsidR="00F15FDA">
              <w:rPr>
                <w:noProof/>
                <w:webHidden/>
              </w:rPr>
              <w:fldChar w:fldCharType="begin"/>
            </w:r>
            <w:r w:rsidR="00B64662">
              <w:rPr>
                <w:noProof/>
                <w:webHidden/>
              </w:rPr>
              <w:instrText xml:space="preserve"> PAGEREF _Toc420331902 \h </w:instrText>
            </w:r>
            <w:r w:rsidR="00F15FDA">
              <w:rPr>
                <w:noProof/>
                <w:webHidden/>
              </w:rPr>
            </w:r>
            <w:r w:rsidR="00F15FDA">
              <w:rPr>
                <w:noProof/>
                <w:webHidden/>
              </w:rPr>
              <w:fldChar w:fldCharType="separate"/>
            </w:r>
            <w:r w:rsidR="00B64662">
              <w:rPr>
                <w:noProof/>
                <w:webHidden/>
              </w:rPr>
              <w:t>28</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3" w:history="1">
            <w:r w:rsidR="00B64662" w:rsidRPr="003A60BC">
              <w:rPr>
                <w:rStyle w:val="Hperlink"/>
                <w:noProof/>
              </w:rPr>
              <w:t>Lõige A – kontod, mida ei pea üle vaatama ega tuvastama ja mille kohta ei pea aruannet esitama</w:t>
            </w:r>
            <w:r w:rsidR="00B64662">
              <w:rPr>
                <w:noProof/>
                <w:webHidden/>
              </w:rPr>
              <w:tab/>
            </w:r>
            <w:r w:rsidR="00F15FDA">
              <w:rPr>
                <w:noProof/>
                <w:webHidden/>
              </w:rPr>
              <w:fldChar w:fldCharType="begin"/>
            </w:r>
            <w:r w:rsidR="00B64662">
              <w:rPr>
                <w:noProof/>
                <w:webHidden/>
              </w:rPr>
              <w:instrText xml:space="preserve"> PAGEREF _Toc420331903 \h </w:instrText>
            </w:r>
            <w:r w:rsidR="00F15FDA">
              <w:rPr>
                <w:noProof/>
                <w:webHidden/>
              </w:rPr>
            </w:r>
            <w:r w:rsidR="00F15FDA">
              <w:rPr>
                <w:noProof/>
                <w:webHidden/>
              </w:rPr>
              <w:fldChar w:fldCharType="separate"/>
            </w:r>
            <w:r w:rsidR="00B64662">
              <w:rPr>
                <w:noProof/>
                <w:webHidden/>
              </w:rPr>
              <w:t>28</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4" w:history="1">
            <w:r w:rsidR="00B64662" w:rsidRPr="003A60BC">
              <w:rPr>
                <w:rStyle w:val="Hperlink"/>
                <w:noProof/>
              </w:rPr>
              <w:t>Lõige B – hoolsusmeetmed madalama väärtusega kontode jaoks</w:t>
            </w:r>
            <w:r w:rsidR="00B64662">
              <w:rPr>
                <w:noProof/>
                <w:webHidden/>
              </w:rPr>
              <w:tab/>
            </w:r>
            <w:r w:rsidR="00F15FDA">
              <w:rPr>
                <w:noProof/>
                <w:webHidden/>
              </w:rPr>
              <w:fldChar w:fldCharType="begin"/>
            </w:r>
            <w:r w:rsidR="00B64662">
              <w:rPr>
                <w:noProof/>
                <w:webHidden/>
              </w:rPr>
              <w:instrText xml:space="preserve"> PAGEREF _Toc420331904 \h </w:instrText>
            </w:r>
            <w:r w:rsidR="00F15FDA">
              <w:rPr>
                <w:noProof/>
                <w:webHidden/>
              </w:rPr>
            </w:r>
            <w:r w:rsidR="00F15FDA">
              <w:rPr>
                <w:noProof/>
                <w:webHidden/>
              </w:rPr>
              <w:fldChar w:fldCharType="separate"/>
            </w:r>
            <w:r w:rsidR="00B64662">
              <w:rPr>
                <w:noProof/>
                <w:webHidden/>
              </w:rPr>
              <w:t>29</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5" w:history="1">
            <w:r w:rsidR="00B64662" w:rsidRPr="003A60BC">
              <w:rPr>
                <w:rStyle w:val="Hperlink"/>
                <w:noProof/>
              </w:rPr>
              <w:t>Lõige C – hoolsusmeetmed kõrgema väärtusega kontode jaoks</w:t>
            </w:r>
            <w:r w:rsidR="00B64662">
              <w:rPr>
                <w:noProof/>
                <w:webHidden/>
              </w:rPr>
              <w:tab/>
            </w:r>
            <w:r w:rsidR="00F15FDA">
              <w:rPr>
                <w:noProof/>
                <w:webHidden/>
              </w:rPr>
              <w:fldChar w:fldCharType="begin"/>
            </w:r>
            <w:r w:rsidR="00B64662">
              <w:rPr>
                <w:noProof/>
                <w:webHidden/>
              </w:rPr>
              <w:instrText xml:space="preserve"> PAGEREF _Toc420331905 \h </w:instrText>
            </w:r>
            <w:r w:rsidR="00F15FDA">
              <w:rPr>
                <w:noProof/>
                <w:webHidden/>
              </w:rPr>
            </w:r>
            <w:r w:rsidR="00F15FDA">
              <w:rPr>
                <w:noProof/>
                <w:webHidden/>
              </w:rPr>
              <w:fldChar w:fldCharType="separate"/>
            </w:r>
            <w:r w:rsidR="00B64662">
              <w:rPr>
                <w:noProof/>
                <w:webHidden/>
              </w:rPr>
              <w:t>36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6" w:history="1">
            <w:r w:rsidR="00B64662" w:rsidRPr="003A60BC">
              <w:rPr>
                <w:rStyle w:val="Hperlink"/>
                <w:noProof/>
              </w:rPr>
              <w:t>Lõiked D ja E – ülevaatamise ja lisatoimingute tähtaeg</w:t>
            </w:r>
            <w:r w:rsidR="00B64662">
              <w:rPr>
                <w:noProof/>
                <w:webHidden/>
              </w:rPr>
              <w:tab/>
            </w:r>
            <w:r w:rsidR="00F15FDA">
              <w:rPr>
                <w:noProof/>
                <w:webHidden/>
              </w:rPr>
              <w:fldChar w:fldCharType="begin"/>
            </w:r>
            <w:r w:rsidR="00B64662">
              <w:rPr>
                <w:noProof/>
                <w:webHidden/>
              </w:rPr>
              <w:instrText xml:space="preserve"> PAGEREF _Toc420331906 \h </w:instrText>
            </w:r>
            <w:r w:rsidR="00F15FDA">
              <w:rPr>
                <w:noProof/>
                <w:webHidden/>
              </w:rPr>
            </w:r>
            <w:r w:rsidR="00F15FDA">
              <w:rPr>
                <w:noProof/>
                <w:webHidden/>
              </w:rPr>
              <w:fldChar w:fldCharType="separate"/>
            </w:r>
            <w:r w:rsidR="00B64662">
              <w:rPr>
                <w:noProof/>
                <w:webHidden/>
              </w:rPr>
              <w:t>40</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07" w:history="1">
            <w:r w:rsidR="00B64662" w:rsidRPr="003A60BC">
              <w:rPr>
                <w:rStyle w:val="Hperlink"/>
                <w:noProof/>
              </w:rPr>
              <w:t>Füüsilise isiku uute kontodega seotud hoolsusmeetmeid käsitleva IV osa kommentaarid</w:t>
            </w:r>
            <w:r w:rsidR="00B64662">
              <w:rPr>
                <w:noProof/>
                <w:webHidden/>
              </w:rPr>
              <w:tab/>
            </w:r>
            <w:r w:rsidR="00F15FDA">
              <w:rPr>
                <w:noProof/>
                <w:webHidden/>
              </w:rPr>
              <w:fldChar w:fldCharType="begin"/>
            </w:r>
            <w:r w:rsidR="00B64662">
              <w:rPr>
                <w:noProof/>
                <w:webHidden/>
              </w:rPr>
              <w:instrText xml:space="preserve"> PAGEREF _Toc420331907 \h </w:instrText>
            </w:r>
            <w:r w:rsidR="00F15FDA">
              <w:rPr>
                <w:noProof/>
                <w:webHidden/>
              </w:rPr>
            </w:r>
            <w:r w:rsidR="00F15FDA">
              <w:rPr>
                <w:noProof/>
                <w:webHidden/>
              </w:rPr>
              <w:fldChar w:fldCharType="separate"/>
            </w:r>
            <w:r w:rsidR="00B64662">
              <w:rPr>
                <w:noProof/>
                <w:webHidden/>
              </w:rPr>
              <w:t>40</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08"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Ettevõtte olemasolevate kontodega seotud hoolsusmeetmeid käsitleva V osa kommentaarid</w:t>
            </w:r>
            <w:r w:rsidR="00B64662">
              <w:rPr>
                <w:noProof/>
                <w:webHidden/>
              </w:rPr>
              <w:tab/>
            </w:r>
            <w:r w:rsidR="00F15FDA">
              <w:rPr>
                <w:noProof/>
                <w:webHidden/>
              </w:rPr>
              <w:fldChar w:fldCharType="begin"/>
            </w:r>
            <w:r w:rsidR="00B64662">
              <w:rPr>
                <w:noProof/>
                <w:webHidden/>
              </w:rPr>
              <w:instrText xml:space="preserve"> PAGEREF _Toc420331908 \h </w:instrText>
            </w:r>
            <w:r w:rsidR="00F15FDA">
              <w:rPr>
                <w:noProof/>
                <w:webHidden/>
              </w:rPr>
            </w:r>
            <w:r w:rsidR="00F15FDA">
              <w:rPr>
                <w:noProof/>
                <w:webHidden/>
              </w:rPr>
              <w:fldChar w:fldCharType="separate"/>
            </w:r>
            <w:r w:rsidR="00B64662">
              <w:rPr>
                <w:noProof/>
                <w:webHidden/>
              </w:rPr>
              <w:t>45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09" w:history="1">
            <w:r w:rsidR="00B64662" w:rsidRPr="003A60BC">
              <w:rPr>
                <w:rStyle w:val="Hperlink"/>
                <w:noProof/>
              </w:rPr>
              <w:t>Lõige A – kontod, mida ei pea üle vaatama ega tuvastama ja mille kohta ei pea aruannet esitama</w:t>
            </w:r>
            <w:r w:rsidR="00B64662">
              <w:rPr>
                <w:noProof/>
                <w:webHidden/>
              </w:rPr>
              <w:tab/>
            </w:r>
            <w:r w:rsidR="00F15FDA">
              <w:rPr>
                <w:noProof/>
                <w:webHidden/>
              </w:rPr>
              <w:fldChar w:fldCharType="begin"/>
            </w:r>
            <w:r w:rsidR="00B64662">
              <w:rPr>
                <w:noProof/>
                <w:webHidden/>
              </w:rPr>
              <w:instrText xml:space="preserve"> PAGEREF _Toc420331909 \h </w:instrText>
            </w:r>
            <w:r w:rsidR="00F15FDA">
              <w:rPr>
                <w:noProof/>
                <w:webHidden/>
              </w:rPr>
            </w:r>
            <w:r w:rsidR="00F15FDA">
              <w:rPr>
                <w:noProof/>
                <w:webHidden/>
              </w:rPr>
              <w:fldChar w:fldCharType="separate"/>
            </w:r>
            <w:r w:rsidR="00B64662">
              <w:rPr>
                <w:noProof/>
                <w:webHidden/>
              </w:rPr>
              <w:t>45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0" w:history="1">
            <w:r w:rsidR="00B64662" w:rsidRPr="003A60BC">
              <w:rPr>
                <w:rStyle w:val="Hperlink"/>
                <w:noProof/>
              </w:rPr>
              <w:t>Lõiked B ja C – kontod, mis tuleb üle vaadata ja mille kohta tuleb aruanne esitada</w:t>
            </w:r>
            <w:r w:rsidR="00B64662">
              <w:rPr>
                <w:noProof/>
                <w:webHidden/>
              </w:rPr>
              <w:tab/>
            </w:r>
            <w:r w:rsidR="00F15FDA">
              <w:rPr>
                <w:noProof/>
                <w:webHidden/>
              </w:rPr>
              <w:fldChar w:fldCharType="begin"/>
            </w:r>
            <w:r w:rsidR="00B64662">
              <w:rPr>
                <w:noProof/>
                <w:webHidden/>
              </w:rPr>
              <w:instrText xml:space="preserve"> PAGEREF _Toc420331910 \h </w:instrText>
            </w:r>
            <w:r w:rsidR="00F15FDA">
              <w:rPr>
                <w:noProof/>
                <w:webHidden/>
              </w:rPr>
            </w:r>
            <w:r w:rsidR="00F15FDA">
              <w:rPr>
                <w:noProof/>
                <w:webHidden/>
              </w:rPr>
              <w:fldChar w:fldCharType="separate"/>
            </w:r>
            <w:r w:rsidR="00B64662">
              <w:rPr>
                <w:noProof/>
                <w:webHidden/>
              </w:rPr>
              <w:t>46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1" w:history="1">
            <w:r w:rsidR="00B64662" w:rsidRPr="003A60BC">
              <w:rPr>
                <w:rStyle w:val="Hperlink"/>
                <w:noProof/>
              </w:rPr>
              <w:t>Lõige D – ülevaatamise kord</w:t>
            </w:r>
            <w:r w:rsidR="00B64662">
              <w:rPr>
                <w:noProof/>
                <w:webHidden/>
              </w:rPr>
              <w:tab/>
            </w:r>
            <w:r w:rsidR="00F15FDA">
              <w:rPr>
                <w:noProof/>
                <w:webHidden/>
              </w:rPr>
              <w:fldChar w:fldCharType="begin"/>
            </w:r>
            <w:r w:rsidR="00B64662">
              <w:rPr>
                <w:noProof/>
                <w:webHidden/>
              </w:rPr>
              <w:instrText xml:space="preserve"> PAGEREF _Toc420331911 \h </w:instrText>
            </w:r>
            <w:r w:rsidR="00F15FDA">
              <w:rPr>
                <w:noProof/>
                <w:webHidden/>
              </w:rPr>
            </w:r>
            <w:r w:rsidR="00F15FDA">
              <w:rPr>
                <w:noProof/>
                <w:webHidden/>
              </w:rPr>
              <w:fldChar w:fldCharType="separate"/>
            </w:r>
            <w:r w:rsidR="00B64662">
              <w:rPr>
                <w:noProof/>
                <w:webHidden/>
              </w:rPr>
              <w:t>46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2" w:history="1">
            <w:r w:rsidR="00B64662" w:rsidRPr="003A60BC">
              <w:rPr>
                <w:rStyle w:val="Hperlink"/>
                <w:noProof/>
              </w:rPr>
              <w:t>Lõige E – ülevaatamise ja lisatoimingute tähtaeg</w:t>
            </w:r>
            <w:r w:rsidR="00B64662">
              <w:rPr>
                <w:noProof/>
                <w:webHidden/>
              </w:rPr>
              <w:tab/>
            </w:r>
            <w:r w:rsidR="00F15FDA">
              <w:rPr>
                <w:noProof/>
                <w:webHidden/>
              </w:rPr>
              <w:fldChar w:fldCharType="begin"/>
            </w:r>
            <w:r w:rsidR="00B64662">
              <w:rPr>
                <w:noProof/>
                <w:webHidden/>
              </w:rPr>
              <w:instrText xml:space="preserve"> PAGEREF _Toc420331912 \h </w:instrText>
            </w:r>
            <w:r w:rsidR="00F15FDA">
              <w:rPr>
                <w:noProof/>
                <w:webHidden/>
              </w:rPr>
            </w:r>
            <w:r w:rsidR="00F15FDA">
              <w:rPr>
                <w:noProof/>
                <w:webHidden/>
              </w:rPr>
              <w:fldChar w:fldCharType="separate"/>
            </w:r>
            <w:r w:rsidR="00B64662">
              <w:rPr>
                <w:noProof/>
                <w:webHidden/>
              </w:rPr>
              <w:t>50</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13" w:history="1">
            <w:r w:rsidR="00B64662" w:rsidRPr="003A60BC">
              <w:rPr>
                <w:rStyle w:val="Hperlink"/>
                <w:noProof/>
              </w:rPr>
              <w:t>Ettevõtte uute kontodega seotud hoolsusmeetmeid käsitleva VI osa kommentaarid</w:t>
            </w:r>
            <w:r w:rsidR="00B64662">
              <w:rPr>
                <w:noProof/>
                <w:webHidden/>
              </w:rPr>
              <w:tab/>
            </w:r>
            <w:r w:rsidR="00F15FDA">
              <w:rPr>
                <w:noProof/>
                <w:webHidden/>
              </w:rPr>
              <w:fldChar w:fldCharType="begin"/>
            </w:r>
            <w:r w:rsidR="00B64662">
              <w:rPr>
                <w:noProof/>
                <w:webHidden/>
              </w:rPr>
              <w:instrText xml:space="preserve"> PAGEREF _Toc420331913 \h </w:instrText>
            </w:r>
            <w:r w:rsidR="00F15FDA">
              <w:rPr>
                <w:noProof/>
                <w:webHidden/>
              </w:rPr>
            </w:r>
            <w:r w:rsidR="00F15FDA">
              <w:rPr>
                <w:noProof/>
                <w:webHidden/>
              </w:rPr>
              <w:fldChar w:fldCharType="separate"/>
            </w:r>
            <w:r w:rsidR="00B64662">
              <w:rPr>
                <w:noProof/>
                <w:webHidden/>
              </w:rPr>
              <w:t>51</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4" w:history="1">
            <w:r w:rsidR="00B64662" w:rsidRPr="003A60BC">
              <w:rPr>
                <w:rStyle w:val="Hperlink"/>
                <w:noProof/>
              </w:rPr>
              <w:t>Lõike A punkt 1 – kontoomanike ülevaatamise kord</w:t>
            </w:r>
            <w:r w:rsidR="00B64662">
              <w:rPr>
                <w:noProof/>
                <w:webHidden/>
              </w:rPr>
              <w:tab/>
            </w:r>
            <w:r w:rsidR="00F15FDA">
              <w:rPr>
                <w:noProof/>
                <w:webHidden/>
              </w:rPr>
              <w:fldChar w:fldCharType="begin"/>
            </w:r>
            <w:r w:rsidR="00B64662">
              <w:rPr>
                <w:noProof/>
                <w:webHidden/>
              </w:rPr>
              <w:instrText xml:space="preserve"> PAGEREF _Toc420331914 \h </w:instrText>
            </w:r>
            <w:r w:rsidR="00F15FDA">
              <w:rPr>
                <w:noProof/>
                <w:webHidden/>
              </w:rPr>
            </w:r>
            <w:r w:rsidR="00F15FDA">
              <w:rPr>
                <w:noProof/>
                <w:webHidden/>
              </w:rPr>
              <w:fldChar w:fldCharType="separate"/>
            </w:r>
            <w:r w:rsidR="00B64662">
              <w:rPr>
                <w:noProof/>
                <w:webHidden/>
              </w:rPr>
              <w:t>51</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5" w:history="1">
            <w:r w:rsidR="00B64662" w:rsidRPr="003A60BC">
              <w:rPr>
                <w:rStyle w:val="Hperlink"/>
                <w:noProof/>
              </w:rPr>
              <w:t>Lõike A punkt 2 – kontrollivate isikute ülevaatamise kord</w:t>
            </w:r>
            <w:r w:rsidR="00B64662">
              <w:rPr>
                <w:noProof/>
                <w:webHidden/>
              </w:rPr>
              <w:tab/>
            </w:r>
            <w:r w:rsidR="00F15FDA">
              <w:rPr>
                <w:noProof/>
                <w:webHidden/>
              </w:rPr>
              <w:fldChar w:fldCharType="begin"/>
            </w:r>
            <w:r w:rsidR="00B64662">
              <w:rPr>
                <w:noProof/>
                <w:webHidden/>
              </w:rPr>
              <w:instrText xml:space="preserve"> PAGEREF _Toc420331915 \h </w:instrText>
            </w:r>
            <w:r w:rsidR="00F15FDA">
              <w:rPr>
                <w:noProof/>
                <w:webHidden/>
              </w:rPr>
            </w:r>
            <w:r w:rsidR="00F15FDA">
              <w:rPr>
                <w:noProof/>
                <w:webHidden/>
              </w:rPr>
              <w:fldChar w:fldCharType="separate"/>
            </w:r>
            <w:r w:rsidR="00B64662">
              <w:rPr>
                <w:noProof/>
                <w:webHidden/>
              </w:rPr>
              <w:t>54</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16" w:history="1">
            <w:r w:rsidR="00B64662" w:rsidRPr="003A60BC">
              <w:rPr>
                <w:rStyle w:val="Hperlink"/>
                <w:noProof/>
              </w:rPr>
              <w:t>Hoolsusmeetmete erieeskirju käsitleva VII osa kommentaarid</w:t>
            </w:r>
            <w:r w:rsidR="00B64662">
              <w:rPr>
                <w:noProof/>
                <w:webHidden/>
              </w:rPr>
              <w:tab/>
            </w:r>
            <w:r w:rsidR="00F15FDA">
              <w:rPr>
                <w:noProof/>
                <w:webHidden/>
              </w:rPr>
              <w:fldChar w:fldCharType="begin"/>
            </w:r>
            <w:r w:rsidR="00B64662">
              <w:rPr>
                <w:noProof/>
                <w:webHidden/>
              </w:rPr>
              <w:instrText xml:space="preserve"> PAGEREF _Toc420331916 \h </w:instrText>
            </w:r>
            <w:r w:rsidR="00F15FDA">
              <w:rPr>
                <w:noProof/>
                <w:webHidden/>
              </w:rPr>
            </w:r>
            <w:r w:rsidR="00F15FDA">
              <w:rPr>
                <w:noProof/>
                <w:webHidden/>
              </w:rPr>
              <w:fldChar w:fldCharType="separate"/>
            </w:r>
            <w:r w:rsidR="00B64662">
              <w:rPr>
                <w:noProof/>
                <w:webHidden/>
              </w:rPr>
              <w:t>55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7" w:history="1">
            <w:r w:rsidR="00B64662" w:rsidRPr="003A60BC">
              <w:rPr>
                <w:rStyle w:val="Hperlink"/>
                <w:noProof/>
              </w:rPr>
              <w:t>Lõige A – kinnitustele ja dokumentaalsetele tõenditele tuginemine</w:t>
            </w:r>
            <w:r w:rsidR="00B64662">
              <w:rPr>
                <w:noProof/>
                <w:webHidden/>
              </w:rPr>
              <w:tab/>
            </w:r>
            <w:r w:rsidR="00F15FDA">
              <w:rPr>
                <w:noProof/>
                <w:webHidden/>
              </w:rPr>
              <w:fldChar w:fldCharType="begin"/>
            </w:r>
            <w:r w:rsidR="00B64662">
              <w:rPr>
                <w:noProof/>
                <w:webHidden/>
              </w:rPr>
              <w:instrText xml:space="preserve"> PAGEREF _Toc420331917 \h </w:instrText>
            </w:r>
            <w:r w:rsidR="00F15FDA">
              <w:rPr>
                <w:noProof/>
                <w:webHidden/>
              </w:rPr>
            </w:r>
            <w:r w:rsidR="00F15FDA">
              <w:rPr>
                <w:noProof/>
                <w:webHidden/>
              </w:rPr>
              <w:fldChar w:fldCharType="separate"/>
            </w:r>
            <w:r w:rsidR="00B64662">
              <w:rPr>
                <w:noProof/>
                <w:webHidden/>
              </w:rPr>
              <w:t>55</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8" w:history="1">
            <w:r w:rsidR="00B64662" w:rsidRPr="003A60BC">
              <w:rPr>
                <w:rStyle w:val="Hperlink"/>
                <w:noProof/>
              </w:rPr>
              <w:t>Lõige B – rahalise väärtusega kindlustuslepingute või annuiteedilepingute alternatiivsed menetluseeskirjad</w:t>
            </w:r>
            <w:r w:rsidR="00B64662">
              <w:rPr>
                <w:noProof/>
                <w:webHidden/>
              </w:rPr>
              <w:tab/>
            </w:r>
            <w:r w:rsidR="00F15FDA">
              <w:rPr>
                <w:noProof/>
                <w:webHidden/>
              </w:rPr>
              <w:fldChar w:fldCharType="begin"/>
            </w:r>
            <w:r w:rsidR="00B64662">
              <w:rPr>
                <w:noProof/>
                <w:webHidden/>
              </w:rPr>
              <w:instrText xml:space="preserve"> PAGEREF _Toc420331918 \h </w:instrText>
            </w:r>
            <w:r w:rsidR="00F15FDA">
              <w:rPr>
                <w:noProof/>
                <w:webHidden/>
              </w:rPr>
            </w:r>
            <w:r w:rsidR="00F15FDA">
              <w:rPr>
                <w:noProof/>
                <w:webHidden/>
              </w:rPr>
              <w:fldChar w:fldCharType="separate"/>
            </w:r>
            <w:r w:rsidR="00B64662">
              <w:rPr>
                <w:noProof/>
                <w:webHidden/>
              </w:rPr>
              <w:t>57</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19" w:history="1">
            <w:r w:rsidR="00B64662" w:rsidRPr="003A60BC">
              <w:rPr>
                <w:rStyle w:val="Hperlink"/>
                <w:noProof/>
              </w:rPr>
              <w:t>Lõige C – kontojäägi liitmise ja valuuta arvestamise eeskirjad</w:t>
            </w:r>
            <w:r w:rsidR="00B64662">
              <w:rPr>
                <w:noProof/>
                <w:webHidden/>
              </w:rPr>
              <w:tab/>
            </w:r>
            <w:r w:rsidR="00F15FDA">
              <w:rPr>
                <w:noProof/>
                <w:webHidden/>
              </w:rPr>
              <w:fldChar w:fldCharType="begin"/>
            </w:r>
            <w:r w:rsidR="00B64662">
              <w:rPr>
                <w:noProof/>
                <w:webHidden/>
              </w:rPr>
              <w:instrText xml:space="preserve"> PAGEREF _Toc420331919 \h </w:instrText>
            </w:r>
            <w:r w:rsidR="00F15FDA">
              <w:rPr>
                <w:noProof/>
                <w:webHidden/>
              </w:rPr>
            </w:r>
            <w:r w:rsidR="00F15FDA">
              <w:rPr>
                <w:noProof/>
                <w:webHidden/>
              </w:rPr>
              <w:fldChar w:fldCharType="separate"/>
            </w:r>
            <w:r w:rsidR="00B64662">
              <w:rPr>
                <w:noProof/>
                <w:webHidden/>
              </w:rPr>
              <w:t>58</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20" w:history="1">
            <w:r w:rsidR="00B64662" w:rsidRPr="003A60BC">
              <w:rPr>
                <w:rStyle w:val="Hperlink"/>
                <w:noProof/>
              </w:rPr>
              <w:t>Mõisteid käsitleva VIII osa kommentaarid</w:t>
            </w:r>
            <w:r w:rsidR="00B64662">
              <w:rPr>
                <w:noProof/>
                <w:webHidden/>
              </w:rPr>
              <w:tab/>
            </w:r>
            <w:r w:rsidR="00F15FDA">
              <w:rPr>
                <w:noProof/>
                <w:webHidden/>
              </w:rPr>
              <w:fldChar w:fldCharType="begin"/>
            </w:r>
            <w:r w:rsidR="00B64662">
              <w:rPr>
                <w:noProof/>
                <w:webHidden/>
              </w:rPr>
              <w:instrText xml:space="preserve"> PAGEREF _Toc420331920 \h </w:instrText>
            </w:r>
            <w:r w:rsidR="00F15FDA">
              <w:rPr>
                <w:noProof/>
                <w:webHidden/>
              </w:rPr>
            </w:r>
            <w:r w:rsidR="00F15FDA">
              <w:rPr>
                <w:noProof/>
                <w:webHidden/>
              </w:rPr>
              <w:fldChar w:fldCharType="separate"/>
            </w:r>
            <w:r w:rsidR="00B64662">
              <w:rPr>
                <w:noProof/>
                <w:webHidden/>
              </w:rPr>
              <w:t>60</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21" w:history="1">
            <w:r w:rsidR="00B64662" w:rsidRPr="003A60BC">
              <w:rPr>
                <w:rStyle w:val="Hperlink"/>
                <w:noProof/>
              </w:rPr>
              <w:t>Lõige A – aruandekohustuslik finantsasutus</w:t>
            </w:r>
            <w:r w:rsidR="00B64662">
              <w:rPr>
                <w:noProof/>
                <w:webHidden/>
              </w:rPr>
              <w:tab/>
            </w:r>
            <w:r w:rsidR="00F15FDA">
              <w:rPr>
                <w:noProof/>
                <w:webHidden/>
              </w:rPr>
              <w:fldChar w:fldCharType="begin"/>
            </w:r>
            <w:r w:rsidR="00B64662">
              <w:rPr>
                <w:noProof/>
                <w:webHidden/>
              </w:rPr>
              <w:instrText xml:space="preserve"> PAGEREF _Toc420331921 \h </w:instrText>
            </w:r>
            <w:r w:rsidR="00F15FDA">
              <w:rPr>
                <w:noProof/>
                <w:webHidden/>
              </w:rPr>
            </w:r>
            <w:r w:rsidR="00F15FDA">
              <w:rPr>
                <w:noProof/>
                <w:webHidden/>
              </w:rPr>
              <w:fldChar w:fldCharType="separate"/>
            </w:r>
            <w:r w:rsidR="00B64662">
              <w:rPr>
                <w:noProof/>
                <w:webHidden/>
              </w:rPr>
              <w:t>60</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22" w:history="1">
            <w:r w:rsidR="00B64662" w:rsidRPr="003A60BC">
              <w:rPr>
                <w:rStyle w:val="Hperlink"/>
                <w:noProof/>
              </w:rPr>
              <w:t>Lõige B – mittearuandekohustuslik finantsasutus</w:t>
            </w:r>
            <w:r w:rsidR="00B64662">
              <w:rPr>
                <w:noProof/>
                <w:webHidden/>
              </w:rPr>
              <w:tab/>
            </w:r>
            <w:r w:rsidR="00F15FDA">
              <w:rPr>
                <w:noProof/>
                <w:webHidden/>
              </w:rPr>
              <w:fldChar w:fldCharType="begin"/>
            </w:r>
            <w:r w:rsidR="00B64662">
              <w:rPr>
                <w:noProof/>
                <w:webHidden/>
              </w:rPr>
              <w:instrText xml:space="preserve"> PAGEREF _Toc420331922 \h </w:instrText>
            </w:r>
            <w:r w:rsidR="00F15FDA">
              <w:rPr>
                <w:noProof/>
                <w:webHidden/>
              </w:rPr>
            </w:r>
            <w:r w:rsidR="00F15FDA">
              <w:rPr>
                <w:noProof/>
                <w:webHidden/>
              </w:rPr>
              <w:fldChar w:fldCharType="separate"/>
            </w:r>
            <w:r w:rsidR="00B64662">
              <w:rPr>
                <w:noProof/>
                <w:webHidden/>
              </w:rPr>
              <w:t>66</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23" w:history="1">
            <w:r w:rsidR="00B64662" w:rsidRPr="003A60BC">
              <w:rPr>
                <w:rStyle w:val="Hperlink"/>
                <w:noProof/>
              </w:rPr>
              <w:t>Lõige C – finantskonto</w:t>
            </w:r>
            <w:r w:rsidR="00B64662">
              <w:rPr>
                <w:noProof/>
                <w:webHidden/>
              </w:rPr>
              <w:tab/>
            </w:r>
            <w:r w:rsidR="00F15FDA">
              <w:rPr>
                <w:noProof/>
                <w:webHidden/>
              </w:rPr>
              <w:fldChar w:fldCharType="begin"/>
            </w:r>
            <w:r w:rsidR="00B64662">
              <w:rPr>
                <w:noProof/>
                <w:webHidden/>
              </w:rPr>
              <w:instrText xml:space="preserve"> PAGEREF _Toc420331923 \h </w:instrText>
            </w:r>
            <w:r w:rsidR="00F15FDA">
              <w:rPr>
                <w:noProof/>
                <w:webHidden/>
              </w:rPr>
            </w:r>
            <w:r w:rsidR="00F15FDA">
              <w:rPr>
                <w:noProof/>
                <w:webHidden/>
              </w:rPr>
              <w:fldChar w:fldCharType="separate"/>
            </w:r>
            <w:r w:rsidR="00B64662">
              <w:rPr>
                <w:noProof/>
                <w:webHidden/>
              </w:rPr>
              <w:t>72</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24" w:history="1">
            <w:r w:rsidR="00B64662" w:rsidRPr="003A60BC">
              <w:rPr>
                <w:rStyle w:val="Hperlink"/>
                <w:noProof/>
              </w:rPr>
              <w:t>Lõige D – avaldatav konto</w:t>
            </w:r>
            <w:r w:rsidR="00B64662">
              <w:rPr>
                <w:noProof/>
                <w:webHidden/>
              </w:rPr>
              <w:tab/>
            </w:r>
            <w:r w:rsidR="00F15FDA">
              <w:rPr>
                <w:noProof/>
                <w:webHidden/>
              </w:rPr>
              <w:fldChar w:fldCharType="begin"/>
            </w:r>
            <w:r w:rsidR="00B64662">
              <w:rPr>
                <w:noProof/>
                <w:webHidden/>
              </w:rPr>
              <w:instrText xml:space="preserve"> PAGEREF _Toc420331924 \h </w:instrText>
            </w:r>
            <w:r w:rsidR="00F15FDA">
              <w:rPr>
                <w:noProof/>
                <w:webHidden/>
              </w:rPr>
            </w:r>
            <w:r w:rsidR="00F15FDA">
              <w:rPr>
                <w:noProof/>
                <w:webHidden/>
              </w:rPr>
              <w:fldChar w:fldCharType="separate"/>
            </w:r>
            <w:r w:rsidR="00B64662">
              <w:rPr>
                <w:noProof/>
                <w:webHidden/>
              </w:rPr>
              <w:t>84</w:t>
            </w:r>
            <w:r w:rsidR="00F15FDA">
              <w:rPr>
                <w:noProof/>
                <w:webHidden/>
              </w:rPr>
              <w:fldChar w:fldCharType="end"/>
            </w:r>
          </w:hyperlink>
        </w:p>
        <w:p w:rsidR="00B64662" w:rsidRDefault="007D3392">
          <w:pPr>
            <w:pStyle w:val="SK3"/>
            <w:rPr>
              <w:rFonts w:asciiTheme="minorHAnsi" w:eastAsiaTheme="minorEastAsia" w:hAnsiTheme="minorHAnsi" w:cstheme="minorBidi"/>
              <w:noProof/>
              <w:lang w:bidi="ar-SA"/>
            </w:rPr>
          </w:pPr>
          <w:hyperlink w:anchor="_Toc420331925" w:history="1">
            <w:r w:rsidR="00B64662" w:rsidRPr="003A60BC">
              <w:rPr>
                <w:rStyle w:val="Hperlink"/>
                <w:noProof/>
              </w:rPr>
              <w:t>Lõige E – mitmesugust</w:t>
            </w:r>
            <w:r w:rsidR="00B64662">
              <w:rPr>
                <w:noProof/>
                <w:webHidden/>
              </w:rPr>
              <w:tab/>
            </w:r>
            <w:r w:rsidR="00F15FDA">
              <w:rPr>
                <w:noProof/>
                <w:webHidden/>
              </w:rPr>
              <w:fldChar w:fldCharType="begin"/>
            </w:r>
            <w:r w:rsidR="00B64662">
              <w:rPr>
                <w:noProof/>
                <w:webHidden/>
              </w:rPr>
              <w:instrText xml:space="preserve"> PAGEREF _Toc420331925 \h </w:instrText>
            </w:r>
            <w:r w:rsidR="00F15FDA">
              <w:rPr>
                <w:noProof/>
                <w:webHidden/>
              </w:rPr>
            </w:r>
            <w:r w:rsidR="00F15FDA">
              <w:rPr>
                <w:noProof/>
                <w:webHidden/>
              </w:rPr>
              <w:fldChar w:fldCharType="separate"/>
            </w:r>
            <w:r w:rsidR="00B64662">
              <w:rPr>
                <w:noProof/>
                <w:webHidden/>
              </w:rPr>
              <w:t>90</w:t>
            </w:r>
            <w:r w:rsidR="00F15FDA">
              <w:rPr>
                <w:noProof/>
                <w:webHidden/>
              </w:rPr>
              <w:fldChar w:fldCharType="end"/>
            </w:r>
          </w:hyperlink>
        </w:p>
        <w:p w:rsidR="00B64662" w:rsidRDefault="007D3392">
          <w:pPr>
            <w:pStyle w:val="SK1"/>
            <w:rPr>
              <w:rFonts w:asciiTheme="minorHAnsi" w:eastAsiaTheme="minorEastAsia" w:hAnsiTheme="minorHAnsi" w:cstheme="minorBidi"/>
              <w:caps w:val="0"/>
              <w:noProof/>
              <w:lang w:bidi="ar-SA"/>
            </w:rPr>
          </w:pPr>
          <w:hyperlink w:anchor="_Toc420331926" w:history="1">
            <w:r w:rsidR="00F15FDA" w:rsidRPr="003A60BC">
              <w:rPr>
                <w:rStyle w:val="Hperlink"/>
                <w:noProof/>
                <w:sz w:val="24"/>
                <w:szCs w:val="24"/>
              </w:rPr>
              <w:fldChar w:fldCharType="begin"/>
            </w:r>
            <w:r w:rsidR="00B64662" w:rsidRPr="003A60BC">
              <w:rPr>
                <w:rStyle w:val="Hperlink"/>
                <w:noProof/>
                <w:sz w:val="24"/>
                <w:szCs w:val="24"/>
              </w:rPr>
              <w:instrText>MACROBUTTON NUMBERING</w:instrText>
            </w:r>
            <w:r w:rsidR="00F15FDA" w:rsidRPr="003A60BC">
              <w:rPr>
                <w:rStyle w:val="Hperlink"/>
                <w:noProof/>
                <w:sz w:val="24"/>
                <w:szCs w:val="24"/>
              </w:rPr>
              <w:fldChar w:fldCharType="end"/>
            </w:r>
            <w:r w:rsidR="00B64662" w:rsidRPr="003A60BC">
              <w:rPr>
                <w:rStyle w:val="Hperlink"/>
                <w:noProof/>
              </w:rPr>
              <w:t>Tõhusat rakendamist käsitleva IX osa kommentaarid</w:t>
            </w:r>
            <w:r w:rsidR="00B64662">
              <w:rPr>
                <w:noProof/>
                <w:webHidden/>
              </w:rPr>
              <w:tab/>
            </w:r>
            <w:r w:rsidR="00F15FDA">
              <w:rPr>
                <w:noProof/>
                <w:webHidden/>
              </w:rPr>
              <w:fldChar w:fldCharType="begin"/>
            </w:r>
            <w:r w:rsidR="00B64662">
              <w:rPr>
                <w:noProof/>
                <w:webHidden/>
              </w:rPr>
              <w:instrText xml:space="preserve"> PAGEREF _Toc420331926 \h </w:instrText>
            </w:r>
            <w:r w:rsidR="00F15FDA">
              <w:rPr>
                <w:noProof/>
                <w:webHidden/>
              </w:rPr>
            </w:r>
            <w:r w:rsidR="00F15FDA">
              <w:rPr>
                <w:noProof/>
                <w:webHidden/>
              </w:rPr>
              <w:fldChar w:fldCharType="separate"/>
            </w:r>
            <w:r w:rsidR="00B64662">
              <w:rPr>
                <w:noProof/>
                <w:webHidden/>
              </w:rPr>
              <w:t>95</w:t>
            </w:r>
            <w:r w:rsidR="00F15FDA">
              <w:rPr>
                <w:noProof/>
                <w:webHidden/>
              </w:rPr>
              <w:fldChar w:fldCharType="end"/>
            </w:r>
          </w:hyperlink>
        </w:p>
        <w:p w:rsidR="00B64662" w:rsidRDefault="00F15FDA">
          <w:r>
            <w:fldChar w:fldCharType="end"/>
          </w:r>
        </w:p>
      </w:sdtContent>
    </w:sdt>
    <w:p w:rsidR="00B64662" w:rsidRDefault="00B64662" w:rsidP="00B64662">
      <w:pPr>
        <w:pStyle w:val="Sisukorrapealkiri"/>
      </w:pPr>
    </w:p>
    <w:p w:rsidR="00B64662" w:rsidRDefault="00B64662" w:rsidP="00E74148">
      <w:pPr>
        <w:pStyle w:val="PartHeading"/>
        <w:keepNext w:val="0"/>
        <w:widowControl w:val="0"/>
        <w:spacing w:before="0" w:after="100" w:afterAutospacing="1"/>
        <w:rPr>
          <w:sz w:val="24"/>
        </w:rPr>
      </w:pPr>
    </w:p>
    <w:p w:rsidR="00B64662" w:rsidRDefault="00B64662" w:rsidP="00E74148">
      <w:pPr>
        <w:pStyle w:val="PartHeading"/>
        <w:keepNext w:val="0"/>
        <w:widowControl w:val="0"/>
        <w:spacing w:before="0" w:after="100" w:afterAutospacing="1"/>
        <w:rPr>
          <w:sz w:val="24"/>
        </w:rPr>
      </w:pPr>
    </w:p>
    <w:p w:rsidR="00F50904" w:rsidRDefault="00F50904" w:rsidP="00E74148">
      <w:pPr>
        <w:pStyle w:val="PartHeading"/>
        <w:keepNext w:val="0"/>
        <w:widowControl w:val="0"/>
        <w:spacing w:before="0" w:after="100" w:afterAutospacing="1"/>
        <w:rPr>
          <w:sz w:val="24"/>
        </w:rPr>
      </w:pPr>
      <w:bookmarkStart w:id="6" w:name="_Toc370997123"/>
      <w:bookmarkStart w:id="7" w:name="_Toc374431867"/>
      <w:bookmarkStart w:id="8" w:name="_Toc374431974"/>
      <w:bookmarkStart w:id="9" w:name="_Toc389723140"/>
      <w:bookmarkEnd w:id="0"/>
      <w:bookmarkEnd w:id="1"/>
      <w:bookmarkEnd w:id="2"/>
      <w:bookmarkEnd w:id="3"/>
      <w:bookmarkEnd w:id="4"/>
    </w:p>
    <w:p w:rsidR="00E74148" w:rsidRDefault="00010DDB" w:rsidP="00B64662">
      <w:pPr>
        <w:pStyle w:val="Pealkiri1"/>
        <w:rPr>
          <w:szCs w:val="24"/>
        </w:rPr>
      </w:pPr>
      <w:bookmarkStart w:id="10" w:name="_Toc420331801"/>
      <w:bookmarkStart w:id="11" w:name="_Toc420331870"/>
      <w:r>
        <w:lastRenderedPageBreak/>
        <w:t xml:space="preserve">A. </w:t>
      </w:r>
      <w:bookmarkStart w:id="12" w:name="_Toc370996964"/>
      <w:r>
        <w:t>Pädeva asutuse mudellepingu kommentaarid</w:t>
      </w:r>
      <w:bookmarkStart w:id="13" w:name="_Toc374431868"/>
      <w:bookmarkStart w:id="14" w:name="_Toc374431975"/>
      <w:bookmarkStart w:id="15" w:name="_Toc386641309"/>
      <w:bookmarkEnd w:id="6"/>
      <w:bookmarkEnd w:id="7"/>
      <w:bookmarkEnd w:id="8"/>
      <w:bookmarkEnd w:id="9"/>
      <w:bookmarkEnd w:id="12"/>
      <w:r>
        <w:t>.</w:t>
      </w:r>
      <w:r w:rsidR="00F15FDA" w:rsidRPr="00E74148">
        <w:rPr>
          <w:szCs w:val="24"/>
        </w:rPr>
        <w:fldChar w:fldCharType="begin"/>
      </w:r>
      <w:r>
        <w:rPr>
          <w:szCs w:val="24"/>
        </w:rPr>
        <w:instrText>MACROBUTTON NUMBERING</w:instrText>
      </w:r>
      <w:bookmarkStart w:id="16" w:name="_Toc389723141"/>
      <w:r w:rsidR="00F15FDA" w:rsidRPr="00E74148">
        <w:rPr>
          <w:szCs w:val="24"/>
        </w:rPr>
        <w:fldChar w:fldCharType="end"/>
      </w:r>
      <w:bookmarkEnd w:id="10"/>
      <w:bookmarkEnd w:id="11"/>
    </w:p>
    <w:p w:rsidR="00010DDB" w:rsidRPr="00E74148" w:rsidRDefault="00010DDB" w:rsidP="00B64662">
      <w:pPr>
        <w:pStyle w:val="Pealkiri1"/>
        <w:rPr>
          <w:szCs w:val="24"/>
        </w:rPr>
      </w:pPr>
      <w:bookmarkStart w:id="17" w:name="_Toc420331802"/>
      <w:bookmarkStart w:id="18" w:name="_Toc420331871"/>
      <w:r>
        <w:t>Sissejuhatus</w:t>
      </w:r>
      <w:bookmarkEnd w:id="13"/>
      <w:bookmarkEnd w:id="14"/>
      <w:bookmarkEnd w:id="15"/>
      <w:bookmarkEnd w:id="16"/>
      <w:bookmarkEnd w:id="17"/>
      <w:bookmarkEnd w:id="18"/>
    </w:p>
    <w:p w:rsidR="00010DDB" w:rsidRPr="00E74148" w:rsidRDefault="00F15FDA" w:rsidP="00FE36DD">
      <w:pPr>
        <w:pStyle w:val="Num-DocParagraph"/>
        <w:widowControl w:val="0"/>
        <w:numPr>
          <w:ilvl w:val="0"/>
          <w:numId w:val="5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Pädeva asutuse mudelleping CAA (</w:t>
      </w:r>
      <w:r w:rsidR="00010DDB" w:rsidRPr="00394DD4">
        <w:rPr>
          <w:i/>
          <w:iCs/>
          <w:sz w:val="24"/>
        </w:rPr>
        <w:t>Model Competent Authority Agreement</w:t>
      </w:r>
      <w:r w:rsidR="00010DDB">
        <w:rPr>
          <w:sz w:val="24"/>
        </w:rPr>
        <w:t>) seob CRS-i (</w:t>
      </w:r>
      <w:r w:rsidR="00010DDB" w:rsidRPr="00394DD4">
        <w:rPr>
          <w:i/>
          <w:iCs/>
          <w:sz w:val="24"/>
        </w:rPr>
        <w:t>Common Reporting Standard</w:t>
      </w:r>
      <w:r w:rsidR="00010DDB">
        <w:rPr>
          <w:sz w:val="24"/>
        </w:rPr>
        <w:t xml:space="preserve"> – ühtne aruandluse standard) teabevahetuse õigusliku alusega (näiteks maksuasjades vastastikuse haldusabi konventsioon või kahepoolne maksuleping). CAA koosneb preambulast ja seitsmest artiklist, mis sätestavad nõuetekohast teabe liikumist tagava teabevahetuse korra. Preambulas sisalduvad kinnitused riigisiseste aruandluse ja hoolsusmeetmete reeglite kohta, mis on mudellepingu CAA kohase teabevahetuse aluseks. Samuti on selles kinnitused konfidentsiaalsuse ja tõhusa andmevahetuse toimimiseks vajaliku taristu olemasolu kohta.</w:t>
      </w:r>
    </w:p>
    <w:p w:rsidR="00010DDB" w:rsidRPr="00E74148" w:rsidRDefault="00F15FDA" w:rsidP="00FE36DD">
      <w:pPr>
        <w:pStyle w:val="Num-DocParagraph"/>
        <w:widowControl w:val="0"/>
        <w:numPr>
          <w:ilvl w:val="0"/>
          <w:numId w:val="5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Mudellepingu CAA artiklid käsitlevad mõisteid (artikkel 1), vahetatava teabe liike (artikkel 2), teabevahetuse aega ja viisi (artikkel 3), maksukuulekuse ja nõuete täitmisega seotud koostööd (artikkel 4) ning konfidentsiaalsuse ja andmekaitse nõudeid (artikkel 5). Pädevate asutuste vahelisi konsultatsioone ning lepingu muudatusi ja tähtaega, sealhulgas lepingu peatamist ja lõpetamist reguleerivad artiklid 4, 6 ja 7.</w:t>
      </w:r>
    </w:p>
    <w:p w:rsidR="00010DDB" w:rsidRPr="00E74148" w:rsidRDefault="00F15FDA" w:rsidP="00FE36DD">
      <w:pPr>
        <w:pStyle w:val="Num-DocParagraph"/>
        <w:widowControl w:val="0"/>
        <w:numPr>
          <w:ilvl w:val="0"/>
          <w:numId w:val="5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Mudelleping CAA on koostatud kahepoolse vastastikuse lepinguna, mis põhineb pooltevahelise vastastikuse automaatse teabevahetuse põhimõttel. Selleks et vähendada mitme pädeva asutuse lepingu sõlmimisega seotud kulusid, võib teabevahetus toimuda mitmepoolse pädeva asutuse lepingu/instrumendi alusel. Mitmepoolne mudelleping CAA on esitatud lisas 1. Kuigi leping oleks mitmepoolne, toimuks teabevahetus siiski kahepoolsel alusel. Võib ka juhtuda, et jurisdiktsioonid soovivad sõlmida mittevastastikuse kahepoolse lepingu (näiteks kui ühes jurisdiktsioonis ei ole tulumaksu kehtestatud). Mittevastastikune mudelleping CAA on esitatud lisas 2. G20 ja muud riigid on tunnistanud, et arengumaades võib esineda automaatse teabevahetusega seotud suutlikkuse probleeme ning see on oluline küsimus, millega tuleb tegeleda. 2013. aasta juulis palus G20 ülemaailmsel läbipaistvuse ja maksualase teabevahetuse foorumil teha koostööd OECD maksu- ja arengutöökonna, maailmapanga ja muude organisatsioonidega, et aidata arengumaadel teha kindlaks nende vajadus tehnilise abi ja suutlikkuse suurendamise järele.</w:t>
      </w:r>
    </w:p>
    <w:p w:rsidR="00010DDB" w:rsidRPr="00E74148" w:rsidRDefault="00F15FDA" w:rsidP="00FE36DD">
      <w:pPr>
        <w:pStyle w:val="Num-DocParagraph"/>
        <w:widowControl w:val="0"/>
        <w:numPr>
          <w:ilvl w:val="0"/>
          <w:numId w:val="5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Jurisdiktsioonid võivad sõlmida ka mitmepoolse valitsustevahelise lepingu või mitu valitsustevahelist lepingut, mis oleksid rahvusvahelised lepingud nende oma õiguses või piirkondlikus õiguses, hõlmates nii aruandekohustusi kui ka hoolsusmeetmeid, mis on seotud piiratuma pädeva asutuse lepinguga.</w:t>
      </w:r>
    </w:p>
    <w:bookmarkStart w:id="19" w:name="_Toc374431869"/>
    <w:bookmarkStart w:id="20" w:name="_Toc374431976"/>
    <w:bookmarkStart w:id="21" w:name="_Toc386641310"/>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22" w:name="_Toc389723142"/>
      <w:bookmarkStart w:id="23" w:name="_Toc420331803"/>
      <w:bookmarkStart w:id="24" w:name="_Toc420331872"/>
      <w:r w:rsidRPr="00E74148">
        <w:rPr>
          <w:sz w:val="24"/>
          <w:szCs w:val="24"/>
        </w:rPr>
        <w:fldChar w:fldCharType="end"/>
      </w:r>
      <w:r w:rsidR="00010DDB">
        <w:rPr>
          <w:sz w:val="24"/>
        </w:rPr>
        <w:t>Preambula kommentaarid</w:t>
      </w:r>
      <w:bookmarkEnd w:id="19"/>
      <w:bookmarkEnd w:id="20"/>
      <w:bookmarkEnd w:id="21"/>
      <w:bookmarkEnd w:id="22"/>
      <w:bookmarkEnd w:id="23"/>
      <w:bookmarkEnd w:id="24"/>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Preambula („võttes arvesse”-laused) sätestab asjaomase konteksti ja sisaldab kinnitusi, sealhulgas automaatse teabevahetuse õiguslikule alusele viitavat lauset.</w:t>
      </w:r>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Esimene lause on sissejuhatav ja see võib erineda olenevalt lepingut sõlmivas jurisdiktsioonis valitsevatest asjaoludest.</w:t>
      </w:r>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Teises lauses kinnitavad pädevad asutused, et nende jurisdiktsiooni seadused nõuavad või eeldatakse, et need nõuavad, et finantsasutused esitaks teatud kontode kohta informatsiooni lepingu artiklis 2 sätestatud teabevahetuse ulatuses.</w:t>
      </w:r>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Lauses kasutatavad alternatiivid võimaldavad jurisdiktsioonidel, kes seda soovivad, sõlmida pädeva asutuse leping enne, kui üks või mõlemad jurisdiktsioonid on kehtestanud asjakohased reeglid hoolsusmeetmete ja aruandluse kohta. Vt ka artikli 3 lõiget 3 (artikli 3 kommentaaride punkti 3) ja artiklit 7 (artikli 7 kommentaaride punkti 1).</w:t>
      </w:r>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Kolmandas lauses sätestatakse finantskontodealase teabe automaatset vahetust lubav õiguslik alus, samuti võimaldab kolmas lause pädevatel asutustel kokku leppida sellise automaatse teabevahetuse ulatuses ja korras. Kokkulepitav ulatus peab olema kooskõlas lepingu artiklis 2 ette nähtud teabevahetuse ulatusega. Muud aktid (s.t aktid, mis ei ole tulumaksu konventsioon ega maksuasjades vastastikuse haldusabi konventsioon), mille alusel saab automaatselt vahetada maksualast informatsiooni, sisaldavad teatud maksualase informatsiooni vahetuse lepinguid või maksualase koostöö piirkondlikke lepinguid. Piirkondlikul tasandil on võimalik automaatset teabevahetust rakendada ka näiteks EL-i õiguse või Andide ühenduse õiguse, mis sisaldavad mudellepingu CAA ja CRS-i sätteid, alusel.</w:t>
      </w:r>
    </w:p>
    <w:p w:rsidR="00010DDB" w:rsidRPr="00E74148" w:rsidRDefault="00F15FDA" w:rsidP="00FE36DD">
      <w:pPr>
        <w:pStyle w:val="Num-DocParagraph"/>
        <w:widowControl w:val="0"/>
        <w:numPr>
          <w:ilvl w:val="0"/>
          <w:numId w:val="6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Neljas lause sisaldab pädeva asutuse kinnitust, et on (i) kehtestatud saadava teabe konfidentsiaalsust tagavad nõuetekohased meetmed ja (ii) loodud tõhusat teabevahetust võimaldav taristu. Lisateavet leiab mudellepingu CAA artikli 5 kommentaaridest.</w:t>
      </w:r>
    </w:p>
    <w:bookmarkStart w:id="25" w:name="_Toc374431872"/>
    <w:bookmarkStart w:id="26" w:name="_Toc374431977"/>
    <w:bookmarkStart w:id="27" w:name="_Toc386641311"/>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28" w:name="_Toc389723143"/>
      <w:bookmarkStart w:id="29" w:name="_Toc420331804"/>
      <w:bookmarkStart w:id="30" w:name="_Toc420331873"/>
      <w:r w:rsidRPr="00E74148">
        <w:rPr>
          <w:sz w:val="24"/>
          <w:szCs w:val="24"/>
        </w:rPr>
        <w:fldChar w:fldCharType="end"/>
      </w:r>
      <w:r w:rsidR="00010DDB">
        <w:rPr>
          <w:sz w:val="24"/>
        </w:rPr>
        <w:t>Mõisteid käsitleva artikli 1 kommentaarid</w:t>
      </w:r>
      <w:bookmarkEnd w:id="25"/>
      <w:bookmarkEnd w:id="26"/>
      <w:bookmarkEnd w:id="27"/>
      <w:bookmarkEnd w:id="28"/>
      <w:bookmarkEnd w:id="29"/>
      <w:bookmarkEnd w:id="30"/>
    </w:p>
    <w:p w:rsidR="00010DDB" w:rsidRPr="00E74148" w:rsidRDefault="00010DDB" w:rsidP="00E74148">
      <w:pPr>
        <w:pStyle w:val="Pealkiri3"/>
        <w:keepNext w:val="0"/>
        <w:widowControl w:val="0"/>
        <w:spacing w:after="100" w:afterAutospacing="1"/>
        <w:rPr>
          <w:sz w:val="24"/>
          <w:szCs w:val="24"/>
        </w:rPr>
      </w:pPr>
      <w:bookmarkStart w:id="31" w:name="_Toc420331805"/>
      <w:bookmarkStart w:id="32" w:name="_Toc420331874"/>
      <w:r>
        <w:rPr>
          <w:sz w:val="24"/>
        </w:rPr>
        <w:t>Artikkel 1 – mõisted</w:t>
      </w:r>
      <w:bookmarkEnd w:id="31"/>
      <w:bookmarkEnd w:id="32"/>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1 sisaldab lepingule spetsiifiliste terminite mõisteid. Lepingus kasutatud ülejäänud terminite mõisted leiab ühtse aruandluse standardi VIII osast.</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1 punktides a ja b kirjeldatakse lepingut sõlmivaid jurisdiktsioone. Pädevatel asutustel on vaba voli leppida kokku mõistetes „[jurisdiktsioon A]” ja „[jurisdiktsioon B]”, kuid need mõisted peavad olema kooskõlas alusaktis sisalduvate mõistetega. Lisaks võivad pädevad asutused vabalt lisada geograafilise kirjelduse (sh viite mandrilavale), kuid vajalik on üksnes poliitiline mõiste. Poliitiline mõiste on näiteks „Mehhiko tähendab Mehhiko Ühendriike”.</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1 punktis c sisalduv pädeva asutuse mõiste peab sisaldama lepingus nimetatud pädeva asutuse kirjeldust. Selle kirjelduse abil saab iga jurisdiktsioon määrata pädevaks asutuseks ühe või mitu asutust. Kuid see mõiste peab olema kooskõlas alusaktis sisalduva mõistega.</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Lõike 1 punktides d kuni k sisalduvad terminid ühtlustavad lepingut sõlmivate jurisdiktsioonide vahel toimuva teabevahetuse ulatuse ühtses aruandluse standardis sätestatud </w:t>
      </w:r>
      <w:r w:rsidR="00010DDB">
        <w:rPr>
          <w:sz w:val="24"/>
        </w:rPr>
        <w:lastRenderedPageBreak/>
        <w:t>ulatusega. Sellised terminid viitavad</w:t>
      </w:r>
    </w:p>
    <w:p w:rsidR="00010DDB" w:rsidRPr="00E74148" w:rsidRDefault="00010DDB" w:rsidP="00E74148">
      <w:pPr>
        <w:pStyle w:val="Loenditpp"/>
        <w:widowControl w:val="0"/>
        <w:spacing w:after="100" w:afterAutospacing="1"/>
        <w:rPr>
          <w:sz w:val="24"/>
          <w:szCs w:val="24"/>
        </w:rPr>
      </w:pPr>
      <w:r>
        <w:rPr>
          <w:sz w:val="24"/>
        </w:rPr>
        <w:t>aruandekohustuslikele finantsasutustele: „[jurisdiktsiooni A] finantsasutus”, „[jurisdiktsiooni B] finantsasutus” ja „aruandekohustuslik finantsasutus”, mis on kooskõlas ühtse aruandluse standardi VIII osa jao A punktides 1 ja 2 ette nähtud terminitega „aruandekohustuslik finantsasutus” ja „osaleva jurisdiktsiooni finantsasutus” (vt VIII osa kommentaaride punkte 2–6);</w:t>
      </w:r>
    </w:p>
    <w:p w:rsidR="00010DDB" w:rsidRPr="00E74148" w:rsidRDefault="00010DDB" w:rsidP="00E74148">
      <w:pPr>
        <w:pStyle w:val="Loenditpp"/>
        <w:widowControl w:val="0"/>
        <w:spacing w:after="100" w:afterAutospacing="1"/>
        <w:rPr>
          <w:sz w:val="24"/>
          <w:szCs w:val="24"/>
        </w:rPr>
      </w:pPr>
      <w:r>
        <w:rPr>
          <w:sz w:val="24"/>
        </w:rPr>
        <w:t>avaldatud finantskontodele: „avaldatav konto”, „[jurisdiktsiooni A] avaldatav konto” ja „[jurisdiktsiooni B] avaldatav konto”, mis on kooskõlas ühtse aruandluse standardi VIII osa jao D punktis 1 ette nähtud terminiga „avaldatav konto” (vt VIII osa kommentaaride punkti 105); ja</w:t>
      </w:r>
    </w:p>
    <w:p w:rsidR="00010DDB" w:rsidRPr="00E74148" w:rsidRDefault="00010DDB" w:rsidP="00E74148">
      <w:pPr>
        <w:pStyle w:val="Loenditpp"/>
        <w:widowControl w:val="0"/>
        <w:spacing w:after="100" w:afterAutospacing="1"/>
        <w:rPr>
          <w:sz w:val="24"/>
          <w:szCs w:val="24"/>
        </w:rPr>
      </w:pPr>
      <w:r>
        <w:rPr>
          <w:sz w:val="24"/>
        </w:rPr>
        <w:t>aruandekohustuslikele kontoomanikele: „[jurisdiktsiooni A] isik” ja „[jurisdiktsiooni B] isik”, mis on kooskõlas ühtse aruandluse standardi osa VIII jao D punktides 2 ja 3 ette nähtud terminitega „avaldatav isik” ja „avaldatava jurisdiktsiooni isik” (vt VIII osa kommentaaride punkte 106–116).</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1 punkt l sisaldab termini „TIN” mõistet, mis on ühtlasi ühtse aruandluse standardi VIII osa jao E punktis 5 määratletud termin. Viimase mõistes tähendab TIN maksukohustuslase identifitseerimisnumbrit või maksukohustuslase identifitseerimisnumbri puudumisel selle toimivat ekvivalenti (vt VIII osa kommentaaride punkte 146–149), aga esimese termini eesmärk on identifitseerida lepingut sõlmivate jurisdiktsioonide TIN-id. Sama eesmärk on ka lõike 1 punktides m ja n sisalduvatel terminitel „[jurisdiktsiooni A] TIN” ja „[jurisdiktsiooni B] TIN”.</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Terminit „ühtne aruandluse standard” ei ole pädeva asutuse mudellepingus määratletud, kuid see on määratletud mitmepoolses pädeva asutuse mudellepingus. Võib juhtuda, et ühtset aruandluse standardit, sealhulgas IT-lahendusi, ajakohastatakse aeg-ajalt tulenevalt lisanduvatest jurisdiktsioonidest, kus seda rakendatakse ja kus saadakse sellega seotud kogemusi. Mitmepoolse lepingu korral võivad pädevad asutused allkirjastada lepingu eri kuupäevadel, kusjuures võib juhtuda, et ühtset aruandluse standardit on vahepeal ajakohastatud. Selle probleemiga tegelemiseks määratletakse mitmepoolses lepingus ühtset aruandluse standardit järgmiselt: „OECD ja G20-riikide välja töötatud finantskontodealase teabe automaatse vahetuse standard, mida esitleti G20-le 2014. aastal ja mis on avaldatud OECD veebilehel”. Selleks et kõik jurisdiktsioonid mõistaksid, et neilt eeldatakse standardi uusima verisooni rakendamist, on kolmandas väljalaskes sätestatud, et „eeldatakse, et jurisdiktsioonide õigusakte aeg-ajalt muudetakse, et need kajastaksid ühtse aruandluse standardi muudatusi, ja kui jurisdiktsioon on need muudatused jõustanud, loetakse, et ühtse aruandluse standardi mõiste viitab selle ajakohastatud versioonile asjaomases jurisdiktsioonis”. Kahepoolse lepingu puhul sellist probleemi ei tõusetu, kuna üldjuhul allkirjastavad pädevad asutused lepingu samal kuupäeval. Kuid isegi kahepoolse lepingu puhul võib juhtuda, et pädevad asutused soovivad sõnaselgelt sätestada ühtse aruandluse standardi ajakohastamise samal viisil, nagu on sätestatud mitmepoolses lepingus (s.t määratleda termin „ühtne aruandluse standard” ja lisada põhjendus, millega nähakse ette eeldus, et jurisdiktsioonid muudavad oma õigusakte, et kajastada ühtse aruandluse standardi muudatusi).</w:t>
      </w:r>
    </w:p>
    <w:p w:rsidR="00010DDB" w:rsidRPr="00E74148" w:rsidRDefault="00010DDB" w:rsidP="00E74148">
      <w:pPr>
        <w:pStyle w:val="Pealkiri3"/>
        <w:keepNext w:val="0"/>
        <w:widowControl w:val="0"/>
        <w:spacing w:after="100" w:afterAutospacing="1"/>
        <w:rPr>
          <w:sz w:val="24"/>
          <w:szCs w:val="24"/>
        </w:rPr>
      </w:pPr>
      <w:bookmarkStart w:id="33" w:name="_Toc420331806"/>
      <w:bookmarkStart w:id="34" w:name="_Toc420331875"/>
      <w:r>
        <w:rPr>
          <w:sz w:val="24"/>
        </w:rPr>
        <w:t>Artikkel 2 – tõlgendamise üldreegel</w:t>
      </w:r>
      <w:bookmarkEnd w:id="33"/>
      <w:bookmarkEnd w:id="34"/>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Artiklis 2 nähakse ette tõlgendamise üldreegel. Artikli 2 esimene lause näitab selgelt, et kõiki suure algustähega kirjutatud termineid, mida on mudellepingus CAA kasutatud, kuid </w:t>
      </w:r>
      <w:r w:rsidR="00010DDB">
        <w:rPr>
          <w:sz w:val="24"/>
        </w:rPr>
        <w:lastRenderedPageBreak/>
        <w:t>mida ei ole selles määratletud, tuleb tõlgendada kooskõlas nendele terminitele ühtses aruandluse standardis omistatud tähendusega. See kajastab arusaama, mida on väljendatud ka preambulas, et jurisdiktsioonid on juurutanud aruandluse ja hoolsusmeetmete reeglid (sh seotud mõisted), mis on kooskõlas ühtse aruandluse standardiga.</w:t>
      </w:r>
    </w:p>
    <w:p w:rsidR="00010DDB" w:rsidRPr="00E74148" w:rsidRDefault="00F15FDA" w:rsidP="00FE36DD">
      <w:pPr>
        <w:pStyle w:val="Num-DocParagraph"/>
        <w:widowControl w:val="0"/>
        <w:numPr>
          <w:ilvl w:val="0"/>
          <w:numId w:val="6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Artikli 2 teises lauses sätestatakse, et kui kontekstist ei tulene teisiti või kui pädevad asutused ei lepi kokku üldises tähenduses, siis on kõikidel terminitel, mida ei ole selles lepingus või ühtses aruandluse standardis teisiti määratletud, see tähendus, mis neil on sellel ajal lepingut kohaldava jurisdiktsiooni õiguse alusel. Mis tahes tähendus, mis on terminile omistatud asjaomase jurisdiktsiooni maksuõiguse alusel, on ülimuslik terminile selle jurisdiktsiooni muu õiguse alusel omistatud tähenduse üle. Lisaks peaksid pädevad asutused selles kontekstis võtma arvesse ühtse aruandluse standardi kommentaare ja standardis määratletud termineid.</w:t>
      </w:r>
    </w:p>
    <w:bookmarkStart w:id="35" w:name="_Toc374431875"/>
    <w:bookmarkStart w:id="36" w:name="_Toc374431978"/>
    <w:bookmarkStart w:id="37" w:name="_Toc386641312"/>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38" w:name="_Toc389723144"/>
      <w:bookmarkStart w:id="39" w:name="_Toc420331807"/>
      <w:bookmarkStart w:id="40" w:name="_Toc420331876"/>
      <w:r w:rsidRPr="00E74148">
        <w:rPr>
          <w:sz w:val="24"/>
          <w:szCs w:val="24"/>
        </w:rPr>
        <w:fldChar w:fldCharType="end"/>
      </w:r>
      <w:r w:rsidR="00010DDB">
        <w:rPr>
          <w:sz w:val="24"/>
        </w:rPr>
        <w:t>Avaldatavate kontodega seotud teabe vahetust käsitleva artikli 2 kommentaarid</w:t>
      </w:r>
      <w:bookmarkEnd w:id="35"/>
      <w:bookmarkEnd w:id="36"/>
      <w:bookmarkEnd w:id="37"/>
      <w:bookmarkEnd w:id="38"/>
      <w:bookmarkEnd w:id="39"/>
      <w:bookmarkEnd w:id="40"/>
    </w:p>
    <w:p w:rsidR="00010DDB" w:rsidRPr="00E74148" w:rsidRDefault="00F15FDA" w:rsidP="00324DEF">
      <w:pPr>
        <w:pStyle w:val="Num-DocParagraph"/>
        <w:widowControl w:val="0"/>
        <w:numPr>
          <w:ilvl w:val="0"/>
          <w:numId w:val="62"/>
        </w:numPr>
        <w:tabs>
          <w:tab w:val="clear" w:pos="850"/>
          <w:tab w:val="left" w:pos="567"/>
        </w:tabs>
        <w:spacing w:before="240" w:after="100" w:afterAutospacing="1"/>
        <w:ind w:left="0" w:firstLine="0"/>
        <w:rPr>
          <w:bCs/>
          <w:i/>
          <w:iCs/>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artiklis sätestatakse, et vahetatav teave on teave, mida tuleb ühtse aruandluse standardis sätestatud aruandluse ja hoolsusmeetmete reeglite alusel esitada. Vt CRS-i I osa (aruandluse üldnõuded) ja sellega seotud kommentaare.</w:t>
      </w:r>
    </w:p>
    <w:p w:rsidR="00010DDB" w:rsidRPr="00E74148" w:rsidRDefault="00F15FDA" w:rsidP="00324DEF">
      <w:pPr>
        <w:pStyle w:val="Num-DocParagraph"/>
        <w:widowControl w:val="0"/>
        <w:numPr>
          <w:ilvl w:val="0"/>
          <w:numId w:val="6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Esimene lõige viitab teabevahetuse õiguslikule alusele ja näeb ette, et teavet vahetatakse igal aastal. Teavet võib vahetada ka sagedamini kui kord aastas. Näiteks kui pädev asutus saab aruandekohustuslikult finantsasutuselt parandatud andmeid, siis saadetakse see teave üldjuhul teistele pädevatele asutustele võimalikult kiiresti pärast selle saamist. Vahetatav teave on CRS-i kohaselt saadud teave, mida on täpsustatud lõikes 2.</w:t>
      </w:r>
    </w:p>
    <w:p w:rsidR="00010DDB" w:rsidRPr="00E74148" w:rsidRDefault="00F15FDA" w:rsidP="00324DEF">
      <w:pPr>
        <w:pStyle w:val="Num-DocParagraph"/>
        <w:widowControl w:val="0"/>
        <w:numPr>
          <w:ilvl w:val="0"/>
          <w:numId w:val="6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1 sätestab selgelt, et teabevahetusele kohaldatakse CRS-i aruandluse ja hoolsusmeetmete reegleid. Kui nende reeglite järgi ei ole vaja esitada näiteks teatud avaldatava kontoga seotud TIN-i, siis ei ole ka kohustust sellist teavet vahetada. Vt CRS-i I osa punktides C kuni F sisalduvaid erandeid ja I osa kommentaaride punkte 25–35.</w:t>
      </w:r>
    </w:p>
    <w:p w:rsidR="00010DDB" w:rsidRPr="00E74148" w:rsidRDefault="00F15FDA" w:rsidP="00324DEF">
      <w:pPr>
        <w:pStyle w:val="Num-DocParagraph"/>
        <w:widowControl w:val="0"/>
        <w:numPr>
          <w:ilvl w:val="0"/>
          <w:numId w:val="6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Artikli 2 lõike 2 punktis d nähakse ette, et jurisdiktsioon peab esitama kontojäägi või väärtuse kalendriaasta või muu asjakohase aruandlusperioodi lõpu seisuga. Kuid CRS-i I osa kommentaaride punktis 11 nähakse ette, et jurisdiktsioonid võivad alternatiivina finantsasutustelt nõuda, et need esitaks keskmise kontojäägi või väärtuse asjaomase kalendriaasta või muu aruandlusperioodi jooksul. Kui jurisdiktsioon nõuab aastalõpu seisu asemel keskmise kontojäägi või väärtuse esitamist, tuleks see lepingus ette näha, sh keskmise kontojäägi või väärtuse kindlakstegemiseks kohaldatavad reeglid, et oleks selge, mida tuleb esitada.</w:t>
      </w:r>
    </w:p>
    <w:bookmarkStart w:id="41" w:name="_Toc374431878"/>
    <w:bookmarkStart w:id="42" w:name="_Toc374431979"/>
    <w:bookmarkStart w:id="43" w:name="_Toc386641313"/>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44" w:name="_Toc389723145"/>
      <w:bookmarkStart w:id="45" w:name="_Toc420331808"/>
      <w:bookmarkStart w:id="46" w:name="_Toc420331877"/>
      <w:r w:rsidRPr="00E74148">
        <w:rPr>
          <w:sz w:val="24"/>
          <w:szCs w:val="24"/>
        </w:rPr>
        <w:fldChar w:fldCharType="end"/>
      </w:r>
      <w:r w:rsidR="00010DDB">
        <w:rPr>
          <w:sz w:val="24"/>
        </w:rPr>
        <w:t>Teabe vahetamise aega ja viisi käsitleva artikli 3 kommentaarid</w:t>
      </w:r>
      <w:bookmarkEnd w:id="41"/>
      <w:bookmarkEnd w:id="42"/>
      <w:bookmarkEnd w:id="43"/>
      <w:bookmarkEnd w:id="44"/>
      <w:bookmarkEnd w:id="45"/>
      <w:bookmarkEnd w:id="46"/>
    </w:p>
    <w:p w:rsidR="00010DDB" w:rsidRPr="00E74148" w:rsidRDefault="00010DDB" w:rsidP="00E74148">
      <w:pPr>
        <w:pStyle w:val="Pealkiri3"/>
        <w:keepNext w:val="0"/>
        <w:widowControl w:val="0"/>
        <w:spacing w:after="100" w:afterAutospacing="1"/>
        <w:rPr>
          <w:sz w:val="24"/>
          <w:szCs w:val="24"/>
        </w:rPr>
      </w:pPr>
      <w:bookmarkStart w:id="47" w:name="_Toc420331809"/>
      <w:bookmarkStart w:id="48" w:name="_Toc420331878"/>
      <w:r>
        <w:rPr>
          <w:sz w:val="24"/>
        </w:rPr>
        <w:lastRenderedPageBreak/>
        <w:t>Lõiked 1 ja 2 – väljamaksete summa, liik ja valuuta</w:t>
      </w:r>
      <w:bookmarkEnd w:id="47"/>
      <w:bookmarkEnd w:id="48"/>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1 sätestatakse, et käesoleva lepingu artiklis 2 sätestatud teabevahetuse puhul võib avaldatava kontoga seotud väljamaksete summa ja liigi kindlaks määrata kooskõlas teavet vahetava jurisdiktsiooni maksuseaduste põhimõtetega. Lõikes 2 sätestatakse, et edastatava teabe hulgas peab märkima valuuta, milles iga asjakohane summa on nimetatud.</w:t>
      </w:r>
    </w:p>
    <w:p w:rsidR="00010DDB" w:rsidRPr="00E74148" w:rsidRDefault="00010DDB" w:rsidP="00E74148">
      <w:pPr>
        <w:pStyle w:val="Pealkiri3"/>
        <w:keepNext w:val="0"/>
        <w:widowControl w:val="0"/>
        <w:spacing w:after="100" w:afterAutospacing="1"/>
        <w:rPr>
          <w:sz w:val="24"/>
          <w:szCs w:val="24"/>
        </w:rPr>
      </w:pPr>
      <w:bookmarkStart w:id="49" w:name="_Toc420331810"/>
      <w:bookmarkStart w:id="50" w:name="_Toc420331879"/>
      <w:r>
        <w:rPr>
          <w:sz w:val="24"/>
        </w:rPr>
        <w:t>Lõiked 3 ja 4 – teabe vahetamise aeg</w:t>
      </w:r>
      <w:bookmarkEnd w:id="49"/>
      <w:bookmarkEnd w:id="50"/>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3 sätestatakse, et teabevahetus peab toimuma üheksa kuu jooksul pärast selle kalendriaasta, mille kohta teave käib, lõppu. Esimest aastat, mille kohta teavet tuleb vahetada, ei ole täpsustatud; selle määravad kindlaks jurisdiktsioonid. Lõikes 3 sätestatud tähtaeg üheksa kuud on miinimumnõue ja jurisdiktsioonid võivad vabalt kokku leppida lühemas tähtajas. Näiteks on Euroopa Liidu liikmesriikidele kehtestatud hoiuste direktiiviga 6-kuuline tähtaeg.</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3 on ka sätestatud, et olenemata aastast, mille pädevad asutused on valinud aastaks, mille kohta teavet esimest korda vahetatakse, vahetatakse kalendriaasta kohta teavet ainult juhul, kui mõlemad jurisdiktsioonid on jõustanud selle aasta kohta aruandekohustuse kehtestavad õigusaktid, mis on kooskõlas käesoleva lepingu artiklis 2 ja ühtses aruandluse standardis sätestatud teabevahetuse mahuga. Seda lauset ei kohaldata, kui lepingu allkirjastamise ajal kehtivad mõlemas jurisdiktsioonis ühtse aruandluse standardiga kooskõlas olevad õigusaktid. Kui allkirjastamise ajal ühes või mõlemas jurisdiktsioonis selliseid õigusakte ei kehti, siis kohaldatakse nimetatud lauset, et tagada, et kui leping on jõustunud, kuid ühtne aruandluse standard on ühes jurisdiktsioonis kehtinud juba kauem, tuleb vahetada teavet vaid aastate kohta, millele kehtivad aruandekohustused mõlemas jurisdiktsioonis. Sellest olenemata võib jurisdiktsioon oma riigisisese õiguse alusel otsustada vahetada teavet eelmiste aastate kohta, mis on samuti CRS-i ja mudellepinguga CAA kooskõlas.</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Järgmises näites on kirjeldatud lõike 3 toimivust olukorras, milles ühes jurisdiktsioonis ei ole jõustatud õigusakte, mis näeksid ette aruandekohustuse kalendriaasta kohta, milles lepiti kokku lõike 3 esimeses lauses. Jurisdiktsioonid A ja B allkirjastavad mudellepingu CAA 30. aprillil 2015 ja lepivad kokku, et teavet vahetatakse 2016. aasta ja järgnevate aastate kohta. 7. juunil 2015 teatab jurisdiktsioon A, et on jõustanud õigusakte, mis kehtestavad aruandekohustuse 2016. aasta kohta. 1. novembril 2015 teatab jurisdiktsioon B, et on jõustanud õigusakte, mis kehtestavad aruandekohustuse 2017. aasta kohta. Sellises olukorras toimib lõike 3 viimane lause selliselt, et jurisdiktsioon A ei ole kohustatud vahetama teavet 2016. aasta kohta. Nii jurisdiktsioonil A kui ka jurisdiktsioonil B on kohustus vahetada teavet 2017. aasta kohta. Kuid jurisdiktsioon A võib oma riigisiseste õigusaktide alusel otsustada edastada jurisdiktsioonile B teavet 2016. aasta kohta, kuigi ta ise sama aasta kohta teavet ei saa.</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Lõikes 4 on sätestatud erand aasta kohta, mil tuleb esitada teavet brutotulu kohta. Aruandekohustuslikel finantsasutustel võib olla keeruline juurutada tegevuskorda, mille alusel saada teavet vara müügist või lunastamisest saadud kogu brutotulu kohta. Seega võivad jurisdiktsioonid ühtse aruandluse standardi rakendamisel otsustada sellise brutotulu kohta teabe esitamise kohustuse järk-järgult kehtestada. Kui üleminekut ei ole sätestatud, ei ole lõige 4 vajalik. Kui üks jurisdiktsioonidest on kehtestanud ülemineku, tuleks lisada lõige 4, mis sätestab, et olenemata käesoleva artikli lõikest 3 on lõikes 3 määratletud aasta kohta vahetatav teave käesoleva lepingu artikli 2 lõikes 2 kirjeldatud teave, välja arvatud artikli 2 lõike 2 punkti e alapunktis 2 kirjeldatud brutotulu. Sellisel juhul peaksid jurisdiktsioonid </w:t>
      </w:r>
      <w:r w:rsidR="00010DDB">
        <w:rPr>
          <w:sz w:val="24"/>
        </w:rPr>
        <w:lastRenderedPageBreak/>
        <w:t>täpsustama aasta, mille kohta tuleb brutotulu avaldada.</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Lepingus ei ole sätestatud midagi, mis takistaks artiklite 2 ja 3 kohaldamist enne lepingu jõustumiskuupäeva saadud teabe suhtes, kui sellist teavet avaldatakse ajal, mil leping kehtib, ja pärast artiklite 2 ja 3 jõustumist. Pädevate asutuste jaoks võib osutuda kasulikuks selgitada, millises mahus artiklid 2 ja 3 sellise teabe kohta kehtivad.</w:t>
      </w:r>
    </w:p>
    <w:p w:rsidR="00010DDB" w:rsidRPr="00E74148" w:rsidRDefault="00010DDB" w:rsidP="00E74148">
      <w:pPr>
        <w:pStyle w:val="Pealkiri3"/>
        <w:keepNext w:val="0"/>
        <w:widowControl w:val="0"/>
        <w:spacing w:after="100" w:afterAutospacing="1"/>
        <w:rPr>
          <w:sz w:val="24"/>
          <w:szCs w:val="24"/>
        </w:rPr>
      </w:pPr>
      <w:bookmarkStart w:id="51" w:name="_Toc420331811"/>
      <w:bookmarkStart w:id="52" w:name="_Toc420331880"/>
      <w:r>
        <w:rPr>
          <w:sz w:val="24"/>
        </w:rPr>
        <w:t>Lõiked 5 ja 6 – infotehnoloogia vahendid</w:t>
      </w:r>
      <w:bookmarkEnd w:id="51"/>
      <w:bookmarkEnd w:id="52"/>
    </w:p>
    <w:p w:rsidR="00010DDB" w:rsidRPr="00E74148" w:rsidRDefault="00010DDB" w:rsidP="00E74148">
      <w:pPr>
        <w:pStyle w:val="Pealkiri4"/>
        <w:keepNext w:val="0"/>
        <w:widowControl w:val="0"/>
        <w:spacing w:after="100" w:afterAutospacing="1"/>
        <w:rPr>
          <w:sz w:val="24"/>
          <w:szCs w:val="24"/>
        </w:rPr>
      </w:pPr>
      <w:r>
        <w:rPr>
          <w:sz w:val="24"/>
        </w:rPr>
        <w:t>CRS-i skeem ja kasutusjuhend</w:t>
      </w:r>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5 sätestatakse, et pädevad asutused vahetavad automaatselt käesoleva lepingu artiklis 2 kirjeldatud teavet, kasutades ühtse aruandluse standardi skeemi laiendatavas märgistuskeeles XML. Juhiseid skeemi ja selle kasutamise kohta leiab CRS-i kasutusjuhendist, mis on esitatud lisas 3.</w:t>
      </w:r>
    </w:p>
    <w:p w:rsidR="00010DDB" w:rsidRPr="00E74148" w:rsidRDefault="00010DDB" w:rsidP="00E74148">
      <w:pPr>
        <w:pStyle w:val="Pealkiri4"/>
        <w:keepNext w:val="0"/>
        <w:widowControl w:val="0"/>
        <w:spacing w:after="100" w:afterAutospacing="1"/>
        <w:rPr>
          <w:sz w:val="24"/>
          <w:szCs w:val="24"/>
        </w:rPr>
      </w:pPr>
      <w:r>
        <w:rPr>
          <w:sz w:val="24"/>
        </w:rPr>
        <w:t>Andmeedastus, sealhulgas krüpteerimine</w:t>
      </w:r>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6 sätestatakse, et pädevad asutused lepivad kokku ühes või mitmes andmeedastuse viisis, sealhulgas krüpteerimise standardites.</w:t>
      </w:r>
    </w:p>
    <w:p w:rsidR="00010DDB" w:rsidRPr="00E74148" w:rsidRDefault="00010DDB" w:rsidP="00E74148">
      <w:pPr>
        <w:pStyle w:val="Pealkiri5"/>
        <w:widowControl w:val="0"/>
        <w:spacing w:after="100" w:afterAutospacing="1"/>
        <w:rPr>
          <w:sz w:val="24"/>
          <w:szCs w:val="24"/>
        </w:rPr>
      </w:pPr>
      <w:r>
        <w:rPr>
          <w:sz w:val="24"/>
        </w:rPr>
        <w:t>Asjakohased miinimumstandardid</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Mis tahes edastusviis peab vastama asjakohastele miinimumstandarditele, et tagada andmete konfidentsiaalsus ja rikkumatus kogu andmeedastuse jooksul. Konfidentsiaalsus tähendab, et andmeid ega teavet ei muudeta kättesaadavaks ega avaldata volitamata isikutele. Rikkumatus tähendab, et andmeid ega teavet ei ole lubamatult muudetud. Sellised standardid peaksid arvestama aja jooksul muutuvate tehnoloogiliste võimalustega. See hõlmab turvalisi edastuskanaleid ja protokolle, mis tagavad andmete konfidentsiaalsuse ja rikkumatuse krüpteerimise või füüsiliste meetmete või mõlema abil.</w:t>
      </w:r>
    </w:p>
    <w:p w:rsidR="00010DDB" w:rsidRPr="00E74148" w:rsidRDefault="00F15FDA" w:rsidP="00324DEF">
      <w:pPr>
        <w:pStyle w:val="Num-DocParagraph"/>
        <w:widowControl w:val="0"/>
        <w:numPr>
          <w:ilvl w:val="0"/>
          <w:numId w:val="6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Mudelleping CAA ei näe ette üht ja ainust andmeedastuse ja krüpteerimise lahendust, kuna see võib piirata pädevate asutuste võimalust nõustuda süsteemide ja tavadega, mis on juba edukalt kasutuses või mis võivad konkreetsetel asjaoludel sobivad olla. Kuna andmeid edastav jurisdiktsioon vastutab andmete eest, kuni need on jõudnud vastuvõtvasse jurisdiktsiooni, on võimalik, et olenevalt riiklikest nõuetest lepitakse kahepoolse teabevahetuse kahe osa (saatmise ja vastuvõtmise) kohta kokku eri protsessides. Näiteks võib jurisdiktsioon A kasutada andmete vahetamiseks brauseripõhist edastust ja jurisdiktsioon B turvalises võrgus olevat serverit. Kuid arvestades, et jurisdiktsioonid loovad CRS-põhise automaatse teabevahetuse suhte mitme jurisdiktsiooniga, tuleks kaaluda jätkusuutliku rahvusvahelise edastusarhitektuuri, mis leevendaks vajadust võtta igas jurisdiktsioonis kasutusele ja üleval pidada mitut edastus- ja/või krüpteerimise viisi, loomist.</w:t>
      </w:r>
    </w:p>
    <w:p w:rsidR="00010DDB" w:rsidRPr="00E74148" w:rsidRDefault="00010DDB" w:rsidP="00E74148">
      <w:pPr>
        <w:pStyle w:val="Pealkiri5"/>
        <w:widowControl w:val="0"/>
        <w:spacing w:after="100" w:afterAutospacing="1"/>
        <w:rPr>
          <w:sz w:val="24"/>
          <w:szCs w:val="24"/>
        </w:rPr>
      </w:pPr>
      <w:r>
        <w:rPr>
          <w:sz w:val="24"/>
        </w:rPr>
        <w:t>Krüpteerimine</w:t>
      </w:r>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Krüpteerimise eesmärk on kaitsta nii andmete konfidentsiaalsust kui ka rikkumatust. See tagab, et andmed teisendatakse selleks, et isikud, kellel puudub dekrüpteerimisvõti, ei pääseks neile ligi. Selle tõttu tuleks kõik vahetatavad andmefailid krüpteerida minimaalsete turvastandardite kohaselt ning edastustee tuleks krüpteerida või see füüsiliselt turvaliseks muuta ligipääsu ja koopiafailide jälgimiseks juurutatud revisjoniga. Üks üldlevinud </w:t>
      </w:r>
      <w:r w:rsidR="00010DDB">
        <w:rPr>
          <w:sz w:val="24"/>
        </w:rPr>
        <w:lastRenderedPageBreak/>
        <w:t>teabevahetuse krüpteerimismeetod kasutab avalikku ja privaatvõtit. Avaliku võtmega krüpteerimist on kasutatud juba aastakümneid ja see võimaldab pooltel vahetada krüpteeritud andmeid, ilma et peaks jagatud salavõtme enne teisele poolele teatavaks tegema. Andmeid edastav pool krüpteerib andmefaili avaliku võtmega ja vaid andmeid vastuvõtval poolel on turvaline privaatvõti, mis laseb andmed dekrüpteerida. Rahvusvaheliselt kasutusel olevate krüpteerimisvõtmete pikkusele kehtivad standardid, mis tagavad sobiva turvataseme isiklike finantsandmete jaoks praegu ja ka lähitulevikus, näiteks täiustatud krüpteerimisstandard (AES) 256.</w:t>
      </w:r>
    </w:p>
    <w:p w:rsidR="00010DDB" w:rsidRPr="00E74148" w:rsidRDefault="00010DDB" w:rsidP="00E74148">
      <w:pPr>
        <w:pStyle w:val="Pealkiri5"/>
        <w:widowControl w:val="0"/>
        <w:spacing w:after="100" w:afterAutospacing="1"/>
        <w:rPr>
          <w:sz w:val="24"/>
          <w:szCs w:val="24"/>
        </w:rPr>
      </w:pPr>
      <w:r>
        <w:rPr>
          <w:sz w:val="24"/>
        </w:rPr>
        <w:t>Elektroonilised edastusviisid</w:t>
      </w:r>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Kuigi varem oli tavaline, et pädevad asutused vahetasid omavahel krüpteeritud andmefaile, mis olid disketi, mälupulga või CD-plaadi peal, mis anti üle isiklikult või saadeti tähitud kirjaga, siis kaasnevad teisaldatavate andmekandjate edastamisega lisaasjaajamine ja riskid (isegi kui rikkumatus ja konfidentsiaalsus on krüpteerimisega tagatud). Nüüd on tehnoloogiliselt kõige lihtsam edastada andmeid interneti brauseri vahendusel, mis pakub odavalt krüpteerimist, tühistamatust ja tagasivõetamatust, mistõttu ei peeta teisaldatavate andmekandjate kasutamist enam mõttekaks. Soovitatav on edastusviis, mis võimaldab elektrooniliste failide integreeritud otseedastust, olgu see siis serverist serverisse või brauseripõhine.</w:t>
      </w:r>
      <w:r w:rsidR="00010DDB">
        <w:rPr>
          <w:sz w:val="24"/>
          <w:vertAlign w:val="superscript"/>
        </w:rPr>
        <w:footnoteReference w:id="1"/>
      </w:r>
      <w:r w:rsidR="00010DDB">
        <w:rPr>
          <w:sz w:val="24"/>
        </w:rPr>
        <w:t xml:space="preserve"> Alternatiivina võib kasutada miinimumstandarditele ja tehnilistele nõuetele vastavat turvalist e-posti, kuid sellega võivad kaasneda suuremad paigalduskulud ja keerulisem kasutajate ligipääsu ja andmeturvalisuse haldamine, sealhulgas faili suuruse piirangud ja turvamüüri probleemid. Teadvustada tuleks riskihindamise ja järjepideva riskide uuesti hindamise olulisust.</w:t>
      </w:r>
    </w:p>
    <w:p w:rsidR="00010DDB" w:rsidRPr="00E74148" w:rsidRDefault="00010DDB" w:rsidP="00E74148">
      <w:pPr>
        <w:pStyle w:val="Pealkiri4"/>
        <w:keepNext w:val="0"/>
        <w:widowControl w:val="0"/>
        <w:spacing w:after="100" w:afterAutospacing="1"/>
        <w:rPr>
          <w:sz w:val="24"/>
          <w:szCs w:val="24"/>
        </w:rPr>
      </w:pPr>
      <w:r>
        <w:rPr>
          <w:sz w:val="24"/>
        </w:rPr>
        <w:t>Operatsioonide turvalisuse juurutamine</w:t>
      </w:r>
    </w:p>
    <w:p w:rsidR="00010DDB" w:rsidRPr="00E74148" w:rsidRDefault="00F15FDA" w:rsidP="00324DEF">
      <w:pPr>
        <w:pStyle w:val="Num-DocParagraph"/>
        <w:widowControl w:val="0"/>
        <w:numPr>
          <w:ilvl w:val="0"/>
          <w:numId w:val="63"/>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Edastatud andmete konfidentsiaalsus ja turvalisus sõltub ka heast administratiivkorrast, organisatoorsest korrast ja tegevuskorrast, samuti tehnilistest vahenditest, näiteks riist- ja tarkvarast. Kuigi kooskõla konkreetse standardiga ei ole nõutud, tuleks ideaalis hallata turvalisust viisil, mis on kooskõlas parima tava standarditega, näiteks ISO 27000 seeria infoturbe standardite viimaste versioonidega. Täpsemalt tähendab see seda, et edastusprotsessis võib andmetele ja krüpteerimisvõtmetele olla ligipääs vaid volitatud isikutel, kusjuures eriti turvatud peab olema privaatvõti. Tõendeid volitatud ligipääsust andmetele ja võtmetele tuleks säilitada revisjonilogina. Rohkem teavet andmekaitse ja konfidentsiaalsuse standardite kohta leiab artikli 5 kommentaaridest.</w:t>
      </w:r>
    </w:p>
    <w:bookmarkStart w:id="53" w:name="_Toc374431881"/>
    <w:bookmarkStart w:id="54" w:name="_Toc374431980"/>
    <w:bookmarkStart w:id="55" w:name="_Toc386641314"/>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56" w:name="_Toc389723146"/>
      <w:bookmarkStart w:id="57" w:name="_Toc420331812"/>
      <w:bookmarkStart w:id="58" w:name="_Toc420331881"/>
      <w:r w:rsidRPr="00E74148">
        <w:rPr>
          <w:sz w:val="24"/>
          <w:szCs w:val="24"/>
        </w:rPr>
        <w:fldChar w:fldCharType="end"/>
      </w:r>
      <w:r w:rsidR="00010DDB">
        <w:rPr>
          <w:sz w:val="24"/>
        </w:rPr>
        <w:t>Maksukuulekust ja nõuete täitmisega seotud koostööd käsitleva artikli 4 kommentaarid</w:t>
      </w:r>
      <w:bookmarkEnd w:id="53"/>
      <w:bookmarkEnd w:id="54"/>
      <w:bookmarkEnd w:id="55"/>
      <w:bookmarkEnd w:id="56"/>
      <w:bookmarkEnd w:id="57"/>
      <w:bookmarkEnd w:id="58"/>
    </w:p>
    <w:p w:rsidR="00010DDB" w:rsidRPr="00E74148" w:rsidRDefault="00F15FDA" w:rsidP="00324DEF">
      <w:pPr>
        <w:pStyle w:val="Num-DocParagraph"/>
        <w:widowControl w:val="0"/>
        <w:numPr>
          <w:ilvl w:val="0"/>
          <w:numId w:val="64"/>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Artikkel käsitleb pädevate asutuste vahelist koostööd maksukuulekuse ja nõuete täitmise kohta. Artiklis sätestatakse, et kui pädeval asutusel on alust arvata, et vea tulemusena on edastatud ebatäpne või poolik teave või aruandekohustuslik finantsasutus on rikkunud nõudeid, teavitab ta teist pädevat asutust. Teate saanud pädev asutus võtab tarvitusele kõik riigisisese õiguse kohased meetmed, et teates kirjeldatud vead parandada või rikkumine kõrvaldada. Vaata ühtse aruandluse standardi IX osa kommentaare reeglite ja haldusmenetluste kohta, mida jurisdiktsioonid peavad kehtestama, et tagada CRS-i tõhus rakendamine.</w:t>
      </w:r>
    </w:p>
    <w:p w:rsidR="00010DDB" w:rsidRPr="00E74148" w:rsidRDefault="00F15FDA" w:rsidP="00324DEF">
      <w:pPr>
        <w:pStyle w:val="Num-DocParagraph"/>
        <w:widowControl w:val="0"/>
        <w:numPr>
          <w:ilvl w:val="0"/>
          <w:numId w:val="6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 artikli kohane teade peab olema kirjalik ja selles tuleb selgelt ette näha viga või nõuete rikkumine ning põhjused, miks arvatakse, et selline viga või nõuete rikkumine on toimunud. Teate saanud pädev asutus peab teatele vastama võimalikult kiiresti, kuid mitte hiljem kui 90 päeva jooksul pärast teate saamist teiselt pädevalt asutuselt. Kui küsimust ei lahendata, peab pädev asutus teavitama teist pädevat asutust olukorrast iga 90 päeva tagant. Kui aga pärast teate heas usus läbivaatamist ja kaalumist ei nõustu pädev asutus, et esineb teates kirjeldatud viga või nõuete rikkumine või et see on esinenud, peab ta võimalikult kiiresti teist pädevat asutust sellest kirjalikult teavitama ja oma põhjusi selgitama.</w:t>
      </w:r>
    </w:p>
    <w:p w:rsidR="00010DDB" w:rsidRPr="00E74148" w:rsidRDefault="00F15FDA" w:rsidP="00324DEF">
      <w:pPr>
        <w:pStyle w:val="Num-DocParagraph"/>
        <w:widowControl w:val="0"/>
        <w:numPr>
          <w:ilvl w:val="0"/>
          <w:numId w:val="6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Artiklis 4 ei nähta ette otsest kokkupuudet ühe jurisdiktsiooni pädeva asutuse ja teise jurisdiktsiooni aruandekohustusliku finantsasutuse vahel. Alternatiivina võivad pädevad asutused soovida lubada otsest kokkupuudet ühe jurisdiktsiooni pädeva asutuse ja teise jurisdiktsiooni aruandekohustusliku finantsasutuse vahel haldusvigade või muude vähetähtsate vigade korral. Sellise võimaluse lisamine oleneb asjaomaste jurisdiktsioonide riigisisesest õigusest ja sellele võib mõju avaldada päringute hulk, mida pädev asutus eeldab, et ta saab. Kui pädevad asutused nõustuvad sellega, tuleks artikli 4 sõnastus asendada järgmise sõnastusega:</w:t>
      </w:r>
    </w:p>
    <w:p w:rsidR="00010DDB" w:rsidRPr="00E74148" w:rsidRDefault="00010DDB" w:rsidP="00E74148">
      <w:pPr>
        <w:pStyle w:val="Kehatekst"/>
        <w:widowControl w:val="0"/>
        <w:spacing w:after="100" w:afterAutospacing="1"/>
        <w:rPr>
          <w:i/>
          <w:sz w:val="24"/>
          <w:szCs w:val="24"/>
        </w:rPr>
      </w:pPr>
      <w:r>
        <w:rPr>
          <w:i/>
          <w:sz w:val="24"/>
        </w:rPr>
        <w:t>1. Pädev asutus võib esitada päringu otse teise jurisdiktsiooni aruandekohustuslikule finantsasutusele, kui tal on alust arvata, et haldusvea või muu vähetähtsa vea tulemusena on edastatud ebatäpne või poolik teave. Pädev asutus teavitab teist pädevat asutust, kui ta esitab sellise päringu teise jurisdiktsiooni aruandekohustuslikule finantsasutusele.</w:t>
      </w:r>
    </w:p>
    <w:p w:rsidR="00010DDB" w:rsidRPr="00E74148" w:rsidRDefault="00010DDB" w:rsidP="00E74148">
      <w:pPr>
        <w:pStyle w:val="Kehatekst"/>
        <w:widowControl w:val="0"/>
        <w:spacing w:after="100" w:afterAutospacing="1"/>
        <w:rPr>
          <w:i/>
          <w:sz w:val="24"/>
          <w:szCs w:val="24"/>
        </w:rPr>
      </w:pPr>
      <w:r>
        <w:rPr>
          <w:i/>
          <w:sz w:val="24"/>
        </w:rPr>
        <w:t>2. Pädev asutus teavitab teist pädevat asutust, kui tal on alust arvata, et aruandekohustuslik finantsasutus on rikkunud kohaldatavaid, ühtse aruandluse standardiga kooskõlas olevaid aruandluse ja hoolsusmeetmetega seotud nõudeid. Teate saanud pädev asutus võtab tarvitusele kõik riigisisese õiguse kohased meetmed teates kirjeldatud rikkumise kõrvaldamiseks.</w:t>
      </w:r>
    </w:p>
    <w:p w:rsidR="00010DDB" w:rsidRPr="00E74148" w:rsidRDefault="00F15FDA" w:rsidP="00324DEF">
      <w:pPr>
        <w:pStyle w:val="Num-DocParagraph"/>
        <w:widowControl w:val="0"/>
        <w:numPr>
          <w:ilvl w:val="0"/>
          <w:numId w:val="64"/>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Sellisele otsesele kokkupuutele kohaldataks aruandekohustusliku finantsasutuse jurisdiktsiooni riigisisest õigust, sealhulgas andmekaitset puudutavaid õigusakte.</w:t>
      </w:r>
    </w:p>
    <w:bookmarkStart w:id="59" w:name="_Toc374431884"/>
    <w:bookmarkStart w:id="60" w:name="_Toc374431981"/>
    <w:bookmarkStart w:id="61" w:name="_Toc386641315"/>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62" w:name="_Toc389723147"/>
      <w:bookmarkStart w:id="63" w:name="_Toc420331813"/>
      <w:bookmarkStart w:id="64" w:name="_Toc420331882"/>
      <w:r w:rsidRPr="00E74148">
        <w:rPr>
          <w:sz w:val="24"/>
          <w:szCs w:val="24"/>
        </w:rPr>
        <w:fldChar w:fldCharType="end"/>
      </w:r>
      <w:r w:rsidR="00010DDB">
        <w:rPr>
          <w:sz w:val="24"/>
        </w:rPr>
        <w:t>Konfidentsiaalsust ja andmekaitset käsitleva artikli 5 kommentaarid</w:t>
      </w:r>
      <w:bookmarkEnd w:id="59"/>
      <w:bookmarkEnd w:id="60"/>
      <w:bookmarkEnd w:id="61"/>
      <w:bookmarkEnd w:id="62"/>
      <w:bookmarkEnd w:id="63"/>
      <w:bookmarkEnd w:id="64"/>
    </w:p>
    <w:p w:rsidR="00010DDB" w:rsidRPr="00E74148" w:rsidRDefault="00F15FDA" w:rsidP="00324DEF">
      <w:pPr>
        <w:pStyle w:val="Num-DocParagraph"/>
        <w:widowControl w:val="0"/>
        <w:numPr>
          <w:ilvl w:val="0"/>
          <w:numId w:val="69"/>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Maksumaksjaid puudutava teabe konfidentsiaalsus on alati olnud maksusüsteemide nurgakivi. Nii maksumaksjatel kui ka maksuhalduritel on seaduslik õigus eeldada, et vahetatavat teavet hoitakse konfidentsiaalsena. Selleks et maksumaksjad usaldaksid </w:t>
      </w:r>
      <w:r w:rsidR="00010DDB">
        <w:rPr>
          <w:sz w:val="24"/>
        </w:rPr>
        <w:lastRenderedPageBreak/>
        <w:t>maksusüsteemi ja täidaksid oma seadusest tulenevaid kohustusi, peavad nad kindlad olema, et tihtipeale delikaatset finantsteavet ei avaldata nõuetevastaselt ei tahtlikult ega kogemata. Kodanikud ja valitsused usaldavad rahvusvahelist teabevahetust vaid juhul, kui vahetatud teavet kasutatakse ja avaldatakse üksnes kooskõlas dokumendiga, mille alusel teavet vahetati. See on õiguslikku raamistikku puudutav küsimus, kuid ühtlasi on oluline, kas on kehtestatud süsteeme ja tegevuskordasid, mis tagaksid, et õiguslikust raamistikust praktikas kinni peetakse ja teavet volitamata viisil ei avaldata. Maksualase teabe konfidentsiaalsuse kaitsmise suutlikkus tuleneb ka maksuametis valitsevast nn hoolsuskultuurist, mis hõlmab mitmeid süsteeme, tegevuskordasid ja menetlusi, mis tagavad, et õiguslikust raamistikust peetakse praktikas kinni ning teabeturve ja teabe rikkumatus on kindlustatud ka teabe töötlemisel. Kuna maksuametite kogemus järjest suureneb, peavad konfidentsiaalsusega seotud menetlused ja tegevuskorrad sellega sammu pidama, et tagada, et vahetatud teavet hoitakse konfidentsiaalsena.</w:t>
      </w:r>
      <w:r w:rsidR="00010DDB">
        <w:rPr>
          <w:rStyle w:val="Allmrkuseviide"/>
          <w:sz w:val="24"/>
        </w:rPr>
        <w:footnoteReference w:id="2"/>
      </w:r>
      <w:r w:rsidR="00010DDB">
        <w:rPr>
          <w:sz w:val="24"/>
        </w:rPr>
        <w:t xml:space="preserve"> Mitmes jurisdiktsioonis on kehtestatud konkreetsed isikuandmete kaitse nõuded, mis kehtivad ka maksumaksjaid puudutavale teabele.</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Artikkel 5 koos artikliga 7 ja preambula neljandas lauses sisalduvate kinnitustega tunnistab sõnaselgelt konfidentsiaalsuse ja andmekaitse olulisust finantskontodealase teabe automaatse vahetamise juures. Kommentaaris käsitletakse lühidalt lõikeid 1 ja 2 ning sellele järgneb konfidentsiaalsuse ja andmekaitse põhjalik käsitlus seoses ühtse aruandluse standardiga.</w:t>
      </w:r>
    </w:p>
    <w:p w:rsidR="00010DDB" w:rsidRPr="00E74148" w:rsidRDefault="00010DDB" w:rsidP="00E74148">
      <w:pPr>
        <w:pStyle w:val="Pealkiri3"/>
        <w:keepNext w:val="0"/>
        <w:widowControl w:val="0"/>
        <w:spacing w:after="100" w:afterAutospacing="1"/>
        <w:rPr>
          <w:sz w:val="24"/>
          <w:szCs w:val="24"/>
        </w:rPr>
      </w:pPr>
      <w:bookmarkStart w:id="65" w:name="_Toc420331814"/>
      <w:bookmarkStart w:id="66" w:name="_Toc420331883"/>
      <w:r>
        <w:rPr>
          <w:sz w:val="24"/>
        </w:rPr>
        <w:t>Lõige 1 – konfidentsiaalsus, sealhulgas isikuandmete kaitse</w:t>
      </w:r>
      <w:bookmarkEnd w:id="65"/>
      <w:bookmarkEnd w:id="66"/>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Vahetatavale teabele kohaldatakse alusdokumendis sätestatud konfidentsiaalsusnõudeid ja muid kaitsemeetmeid. See hõlmab eesmärke, milleks teavet võib kasutada, ja piiranguid, kellele teavet võib avaldada.</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Mitmes jurisdiktsioonis on kehtestatud konkreetsed isikuandmete kaitse nõuded, mis kehtivad ka maksumaksjaid puudutava teabe kohta. Näiteks kehtivad EL-i liikmesriikide teabevahetusele spetsiaalsed andmekaitse nõuded (olenemata sellest, kas teavet edastatakse teisele liikmesriigile või kolmandale jurisdiktsioonile). Need nõuded sisaldavad muu hulgas andmesubjekti õigust teabele, ligipääsule, parandamisele ja hüvitusele ning eksimuse avastamise mehhanismi andmesubjekti õiguste kaitseks. Artikli 5 lõikes 1 sätestatakse, et teavet edastav pädev asutus võib isikuandmetele piisava kaitsetaseme tagamiseks määratleda pädeva asutuse lepingus vajalikus ulatuses riigisisese õiguse kohaselt nõutavad kaitsemeetmed, millest tuleb kinni pidada. Teavet vastu võttev asutus peab tagama mis tahes nimetatud kaitsemeetme praktilise rakendamise ja järgimise. Teavet vastu võttev asutus peab käsitlema teavet mitte üksnes kooskõlas oma riigisisese õigusega, vaid ka lisakaitsemeetmetega, mis võivad nõutud olla, et tagada andmekaitse teavet edastava pädeva asutuse riigisisese õiguse alusel. Sellised teavet edastava pädeva asutuse määratletud lisakaitsemeetmed võivad olla seotud näiteks personaalse ligipääsuga andmetele. Kaitsemeetmete määratlemine ei pruugi vajalik olla, kui teavet edastav pädev asutus on veendunud, et teavet vastu võttev asutus tagab edastatavatele andmetele piisava kaitsetaseme. Igal juhul peaksid sellised kaitsemeetmed piirduma meetmetega, mis on vajalikud isikuandmete kaitse tagamiseks, ilma et need takistaks liigselt tõhusat teabevahetust või põhjustaks selle viivituse.</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Teabevahetust reguleerivad dokumendid sätestavad üldjuhul, et teavet ei pea teisele </w:t>
      </w:r>
      <w:r w:rsidR="00010DDB">
        <w:rPr>
          <w:sz w:val="24"/>
        </w:rPr>
        <w:lastRenderedPageBreak/>
        <w:t xml:space="preserve">jurisdiktsioonile edastama, kui teabe avaldamine oleks vastuolus teavet edastava jurisdiktsiooni </w:t>
      </w:r>
      <w:r w:rsidR="00010DDB">
        <w:rPr>
          <w:i/>
          <w:sz w:val="24"/>
        </w:rPr>
        <w:t>ordre public</w:t>
      </w:r>
      <w:r w:rsidR="00010DDB">
        <w:rPr>
          <w:sz w:val="24"/>
        </w:rPr>
        <w:t>’uga (avaliku korraga).</w:t>
      </w:r>
      <w:r w:rsidR="00010DDB">
        <w:rPr>
          <w:rStyle w:val="Allmrkuseviide"/>
          <w:sz w:val="24"/>
        </w:rPr>
        <w:footnoteReference w:id="3"/>
      </w:r>
      <w:r w:rsidR="00010DDB">
        <w:rPr>
          <w:sz w:val="24"/>
        </w:rPr>
        <w:t xml:space="preserve"> Kuigi pädevate asutuste vahelise teabevahetuse kontekstis juhtub seda harva, võivad teatud jurisdiktsioonid nõuda, et nende pädevad asutused määratleksid, et nende edastatavat teavet ei tohi kasutada ega avaldada menetluses, mille tagajärjeks võib olla surmanuhtluse mõistmine ja täideviimine või piinamine või muu inimõiguste raske rikkumine (näiteks kui maksualane uurimine on ajendatud poliitilistest või rassilistest kaalutlustest või usulisest tagakiusamisest), kuna see oleks vastuolus teavet edastava jurisdiktsiooni avaliku korraga. Sellisel juhul võib pädeva asutuse lepingusse lisada sellekohase sätte.</w:t>
      </w:r>
    </w:p>
    <w:p w:rsidR="00010DDB" w:rsidRPr="00E74148" w:rsidRDefault="00010DDB" w:rsidP="00E74148">
      <w:pPr>
        <w:pStyle w:val="Pealkiri3"/>
        <w:keepNext w:val="0"/>
        <w:widowControl w:val="0"/>
        <w:spacing w:after="100" w:afterAutospacing="1"/>
        <w:rPr>
          <w:sz w:val="24"/>
          <w:szCs w:val="24"/>
        </w:rPr>
      </w:pPr>
      <w:bookmarkStart w:id="67" w:name="_Toc420331815"/>
      <w:bookmarkStart w:id="68" w:name="_Toc420331884"/>
      <w:r>
        <w:rPr>
          <w:sz w:val="24"/>
        </w:rPr>
        <w:t>Lõige 2 – konfidentsiaalsusnõude rikkumine</w:t>
      </w:r>
      <w:bookmarkEnd w:id="67"/>
      <w:bookmarkEnd w:id="68"/>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Kohaldatava dokumendi alusel saadud teabe konfidentsiaalsuse tagamine on ülioluline. Artikli 5 lõikes 2 sätestatakse, et konfidentsiaalsusnõude või kaitsemeetmete (sealhulgas (võimalike) teavet edastava pädeva asutuse määratletud lisakaitsemeetmete) rikkumise korral teavitab pädev asutus teist pädevat asutust viivitamata sellisest rikkumisest, sealhulgas kohaldatud sanktsioonidest ning rikkumise kõrvaldamiseks võetud meetmetest. Sellise teate sisu peab olema kooskõlas konfidentsiaalsusnõudega ja jurisdiktsiooni, kus rikkumine toimus, riigisisese õigusega. Lisaks sätestatakse artiklis 7 sõnaselgelt, et konfidentsiaalsus- ja andmekaitsenõuete (sealhulgas (võimalike) teavet edastava pädeva asutuse määratletud lisakaitsemeetmete) rikkumist loetakse oluliseks rikkumiseks, mis õigustab pädeva asutuse lepingu viivitamatut peatamist.</w:t>
      </w:r>
    </w:p>
    <w:p w:rsidR="00010DDB" w:rsidRPr="00E74148" w:rsidRDefault="00010DDB" w:rsidP="00E74148">
      <w:pPr>
        <w:pStyle w:val="Pealkiri4"/>
        <w:keepNext w:val="0"/>
        <w:widowControl w:val="0"/>
        <w:spacing w:after="100" w:afterAutospacing="1"/>
        <w:rPr>
          <w:sz w:val="24"/>
          <w:szCs w:val="24"/>
        </w:rPr>
      </w:pPr>
      <w:r>
        <w:rPr>
          <w:sz w:val="24"/>
        </w:rPr>
        <w:t>Ühtse aruandluse standardi kohased konfidentsiaalsus- ja andmekaitsenõuded</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tagada, et automaatselt vahetatava teabe kaitseks on kehtestatud kohased kaitsemeetmed, on ülioluline (i) õiguslik raamistik, (ii) teabeturbe haldus: tegevuskorrad ja menetlused ning (iii) nõuetele</w:t>
      </w:r>
      <w:r w:rsidR="00394DD4">
        <w:rPr>
          <w:sz w:val="24"/>
        </w:rPr>
        <w:t xml:space="preserve"> </w:t>
      </w:r>
      <w:r w:rsidR="00010DDB">
        <w:rPr>
          <w:sz w:val="24"/>
        </w:rPr>
        <w:t>vastavuse jälgimine ja sanktsioonid, et tegeleda konfidentsiaalsusnõude rikkumisega. Igat punkti käsitletakse allpool. Lisa 4 on küsimustik</w:t>
      </w:r>
      <w:r w:rsidR="00010DDB">
        <w:rPr>
          <w:rStyle w:val="Allmrkuseviide"/>
          <w:sz w:val="24"/>
        </w:rPr>
        <w:footnoteReference w:id="4"/>
      </w:r>
      <w:r w:rsidR="00010DDB">
        <w:rPr>
          <w:sz w:val="24"/>
        </w:rPr>
        <w:t>, mis esitab käsitluse küsimustena ja mis võib olla jurisdiktsioonide jaoks kasulik vahend nõutud konfidentsiaalsus- ja andmekaitsenõuete täitmise hindamisel. Jurisdiktsioonid võivad koostada oma küsimustiku, et väljendada CRS-i konfidentsiaalsus- ja andmekaitsenõuete põhimõtteid. Muud jurisdiktsioonid võivad otsustada küsimustikust loobuda, kui neil juba on toimiv automaatse teabevahetuse suhe teise jurisdiktsiooniga ja nad on juba varem veendunud, et partnerjurisdiktsioonis on kehtestatud nõuetekohased kaitsemeetmed automaatselt edastatava teabe kaitseks.</w:t>
      </w:r>
    </w:p>
    <w:p w:rsidR="00010DDB" w:rsidRPr="00E74148" w:rsidRDefault="00010DDB" w:rsidP="00E74148">
      <w:pPr>
        <w:pStyle w:val="Pealkiri5"/>
        <w:widowControl w:val="0"/>
        <w:spacing w:after="100" w:afterAutospacing="1"/>
        <w:rPr>
          <w:sz w:val="24"/>
          <w:szCs w:val="24"/>
        </w:rPr>
      </w:pPr>
      <w:bookmarkStart w:id="69" w:name="_Toc380075628"/>
      <w:bookmarkStart w:id="70" w:name="_Toc365467889"/>
      <w:bookmarkStart w:id="71" w:name="_Toc363127170"/>
      <w:r>
        <w:rPr>
          <w:sz w:val="24"/>
        </w:rPr>
        <w:t>1. Õiguslik raamistik</w:t>
      </w:r>
      <w:bookmarkEnd w:id="69"/>
      <w:bookmarkEnd w:id="70"/>
      <w:bookmarkEnd w:id="71"/>
    </w:p>
    <w:bookmarkStart w:id="72" w:name="_Toc380075629"/>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Õiguslik raamistik peab tagama vahetatud maksualase teabe konfidentsiaalsuse ja piirama selle kasutust kohastel eesmärkidel kooskõlas vahetust reguleeriva dokumendi tingimustega. Sellise raamistiku kaks peamist osa on kohaldatava dokumendi tingimused ja jurisdiktsiooni riigisisene õigus.</w:t>
      </w:r>
    </w:p>
    <w:bookmarkEnd w:id="72"/>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Kõik kahe- ja mitmepoolsed maksukonventsioonid ning muud dokumendid, mille alusel </w:t>
      </w:r>
      <w:r w:rsidR="00010DDB">
        <w:rPr>
          <w:sz w:val="24"/>
        </w:rPr>
        <w:lastRenderedPageBreak/>
        <w:t>maksualast teavet vahetatakse, peavad sisaldama sätteid, millega nõutakse, et vahetatava teabe konfidentsiaalsust tuleb säilitada ja vahetatavat teavet tohib kasutada vaid teatud eesmärkidel. OECD näidismaksukonventsioon on illustratiivne. Näidismaksukonventsiooni artikli 26 lõikes 2 on nõutud, et teavet, mille pädev asutus on maksumaksjate kohta saanud, käsitletaks salajasena samamoodi nagu jurisdiktsiooni riigisisese õiguse alusel saadud teavet maksumaksjate kohta. Sellise teabe avaldamine on piiratud kogutud maksude hindamises, kogumises, haldamises või sissenõudmises või sellega seotud süüdistuses, apellatsioonimenetluses või hoolsusviga puudutavas menetluses osalevate isikute ja asutustega (sealhulgas kohtute ja haldusorganitega). Samuti võimaldab see säte kasutada teavet muul eesmärgil, kui seda lubavad mõlemad pädevad asutused ja mõlema riigi seadused. Ka mitmepoolse maksuasjades vastastikuse haldusabi konventsiooni artikkel 22 nõuab, et teavet käsitletaks salajasena ja kaitstaks samamoodi nagu poole riigisisese õiguse alusel saadud teavet, ning kehtestab teabe kasutamise ja avaldamise piirangud.</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Riigisiseses õiguses peavad olema sätted, millest piisab maksumaksjaid puudutava teabe konfidentsiaalsuse kaitsmiseks, samuti peab riigisisene õigus sätestama konkreetsed ja piiratud asjaolud, mil sellist teavet võib avaldada ja kasutada. Riigisisene õigus peab kehtestama ka olulised karistused või sanktsioonid maksumaksjaid puudutava teabe nõuetevastase avaldamise või kasutamise eest. Samuti peab riigisisene õigus sätestama, et jurisdiktsioonis kehtivad rahvusvahelise teabevahetuse dokumendid on õiguslikult siduvad, nagu ka nendes sisalduvad konfidentsiaalsusnõuded. Lisaks peab jurisdiktsiooni riigisisene õigus, mis puudutab maksumaksja andmetega seotud kaitsemeetmeid, kehtima teabevahetust reguleeriva dokumendi alusel teiselt valitsuselt saadud teabele maksumaksjate kohta.</w:t>
      </w:r>
    </w:p>
    <w:p w:rsidR="00010DDB" w:rsidRPr="00E74148" w:rsidRDefault="00010DDB" w:rsidP="00E74148">
      <w:pPr>
        <w:pStyle w:val="Pealkiri5"/>
        <w:widowControl w:val="0"/>
        <w:spacing w:after="100" w:afterAutospacing="1"/>
        <w:rPr>
          <w:sz w:val="24"/>
          <w:szCs w:val="24"/>
        </w:rPr>
      </w:pPr>
      <w:bookmarkStart w:id="73" w:name="_Toc380075631"/>
      <w:bookmarkStart w:id="74" w:name="_Toc365467890"/>
      <w:bookmarkStart w:id="75" w:name="_Toc363127171"/>
      <w:r>
        <w:rPr>
          <w:sz w:val="24"/>
        </w:rPr>
        <w:t>2. Infoturbe haldus: tegevuskorrad ja menetlused</w:t>
      </w:r>
      <w:bookmarkEnd w:id="73"/>
      <w:bookmarkEnd w:id="74"/>
      <w:bookmarkEnd w:id="75"/>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teabevahetust reguleeriva dokumendi ja riigisisese õiguse alusel kehtestatud õiguskaitsevahendid omaksid tähtsust, tuleb kehtestada tegevuskorrad ja menetlused, et tagada, et maksumaksjate kohta vahetatud teavet saab kasutada üksnes maksualastel (või muudel määratletud) eesmärkidel, ja et vältida maksumaksjaid puudutava teabe avaldamist isikutele või valitsusasutustele, kes ei ole kaasatud kogutud maksude hindamisse, kogumisse, haldamisse või sissenõudmisse või sellega seotud süüdistusse, apellatsioonimenetlusse või hoolsusviga puudutavasse menetlusse.</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Infoturbe haldussüsteem on tegevuskordade, praktikate ja menetluste kogum, mis käsitleb </w:t>
      </w:r>
      <w:hyperlink r:id="rId8" w:tooltip="Infoturve">
        <w:r w:rsidR="00010DDB">
          <w:rPr>
            <w:rStyle w:val="Hperlink"/>
            <w:sz w:val="24"/>
          </w:rPr>
          <w:t>infoturbe</w:t>
        </w:r>
      </w:hyperlink>
      <w:r w:rsidR="00010DDB">
        <w:rPr>
          <w:sz w:val="24"/>
        </w:rPr>
        <w:t xml:space="preserve"> haldust, sealhulgas </w:t>
      </w:r>
      <w:hyperlink r:id="rId9" w:tooltip="IT risk">
        <w:r w:rsidR="00010DDB">
          <w:rPr>
            <w:rStyle w:val="Hperlink"/>
            <w:sz w:val="24"/>
          </w:rPr>
          <w:t>IT-ga seotud riske</w:t>
        </w:r>
      </w:hyperlink>
      <w:r w:rsidR="00010DDB">
        <w:rPr>
          <w:sz w:val="24"/>
        </w:rPr>
        <w:t>. See ei ole üksnes tehniline küsimus, vaid haldus-, kultuuri- ja organisatoorne küsimus. Nagu allpool täpsemalt kirjeldatakse, peavad maksuametite kehtestatud tegevuskorrad ja menetlused hõlmama kõike, mis puudutab konfidentsiaalsuse kaitsmist, sealhulgas teavet töötlevate töötajate sõelumisprotsessi, piiranguid selle kohta, kellel on õigus teabele ligi pääseda, ja süsteeme, mille abil tuvastada ja jälitada teabe volitamata avaldamist. Infoturbe halduse tegevuskorrad ja menetlused, mida kasutavad iga jurisdiktsiooni maksuametid, peavad olema kooskõlas rahvusvaheliselt tunnustatud standardite või parima praktikaga, mis tagavad maksumaksjate andmete konfidentsiaalsuse kaitse.</w:t>
      </w:r>
      <w:r w:rsidR="00010DDB">
        <w:rPr>
          <w:sz w:val="24"/>
          <w:vertAlign w:val="superscript"/>
        </w:rPr>
        <w:footnoteReference w:id="5"/>
      </w:r>
      <w:r w:rsidR="00010DDB">
        <w:rPr>
          <w:sz w:val="24"/>
        </w:rPr>
        <w:t xml:space="preserve"> Täpsemalt sisaldab see järgmisi baaskontrolle.</w:t>
      </w:r>
    </w:p>
    <w:p w:rsidR="00010DDB" w:rsidRPr="00E74148" w:rsidRDefault="00010DDB" w:rsidP="00E74148">
      <w:pPr>
        <w:pStyle w:val="Pealkiri5"/>
        <w:widowControl w:val="0"/>
        <w:spacing w:after="100" w:afterAutospacing="1"/>
        <w:rPr>
          <w:i/>
          <w:sz w:val="24"/>
          <w:szCs w:val="24"/>
        </w:rPr>
      </w:pPr>
      <w:bookmarkStart w:id="76" w:name="_Toc380075632"/>
      <w:r>
        <w:rPr>
          <w:i/>
          <w:sz w:val="24"/>
        </w:rPr>
        <w:lastRenderedPageBreak/>
        <w:t>2.1. Töötajad (taustakontroll, töölepingud</w:t>
      </w:r>
      <w:bookmarkEnd w:id="76"/>
      <w:r>
        <w:rPr>
          <w:i/>
          <w:sz w:val="24"/>
        </w:rPr>
        <w:t>, väljaõpe)</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tagama, et võimu ja ligipääsu omaval ametikohal olevad isikud on usaldusväärsed ja vastavad turvakriteeriumitele ning et nende ligipääsuõigust hallatakse ja jälgitakse nõuetekohaselt. Töötajaid, konsultante ja muid isikuid, kellel on ligipääs konfidentsiaalsele teabele, tuleb kontrollida võimalike turvariskide suhtes. Konsultantidel, kes pääsevad ligi maksumaksjate andmetele, peavad olema samad lepingust tulenevad kohustused nagu töötajatelgi, et hoida maksumaksjate andmeid konfidentsiaalsena.</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Samuti peavad maksuametid tagama, et andmetele ligipääsu omavad töötajad on teadlikud nende ametikohaga kaasnevatest konfidentsiaalsusnõuetest, nende tegevusega seotud turvariskidest ja kohaldatavatest seadustest, tegevuskordadest ja menetlustest, mis on seotud turvalisuse/konfidentsiaalsusega. Kuni töötaja pääseb andmetele ligi, peab iga-aastane või sagedasem väljaõpe jätkuma.</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Lisaks peavad olema kehtestatud menetlused, millega kiiresti tühistada vallandatud, teisele ametikohale üle viidud või pensionile jäänud töötajate ligipääs konfidentsiaalsele teabele, kuna nad seda enam ei vaja. Konfidentsiaalsuskohustus jääb kehtima ka pärast ligipääsu tühistamist.</w:t>
      </w:r>
    </w:p>
    <w:p w:rsidR="00010DDB" w:rsidRPr="00E74148" w:rsidRDefault="00010DDB" w:rsidP="00E74148">
      <w:pPr>
        <w:pStyle w:val="Pealkiri5"/>
        <w:widowControl w:val="0"/>
        <w:spacing w:after="100" w:afterAutospacing="1"/>
        <w:rPr>
          <w:i/>
          <w:sz w:val="24"/>
          <w:szCs w:val="24"/>
        </w:rPr>
      </w:pPr>
      <w:bookmarkStart w:id="77" w:name="_Toc380075635"/>
      <w:r>
        <w:rPr>
          <w:i/>
          <w:sz w:val="24"/>
        </w:rPr>
        <w:t>2.2. Ligipääs ruumidele</w:t>
      </w:r>
      <w:bookmarkEnd w:id="77"/>
      <w:r>
        <w:rPr>
          <w:i/>
          <w:sz w:val="24"/>
        </w:rPr>
        <w:t xml:space="preserve"> ja füüsilisele dokumendihoidlale</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Maksuametites peavad olema kehtestatud turvameetmed nende ruumidesse sissepääsu piiramiseks. Tihtipeale hõlmavad meetmed turvameeste kohalolu, saatjata külastajaid puudutavat korda, läbipääsuluba või koodiga sissepääsusüsteemi töötajate jaoks ning piiranguid töötajate ligipääsule aladesse, kus hoitakse delikaatseid andmeid.</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tagama ka turvalise hoidla konfidentsiaalsete dokumentide jaoks. Teavet võib turvaliselt hoida lukustatud hoiukohas või ruumis, näiteks kapis (avatav kombinatsiooni või võtmega), seifis või varakambris. Ligipääs kombinatsioonidele ja võtmetele peab olema piiratud. Füüsiliste hoiukappide turvalisus peab olenevalt nende sisust olema erinev ja automaatselt vahetatavate maksuandmete kogum peab olema nõuetekohase turvaklassifikatsiooniga. Maksuametid peavad ka tagama, et selline turvalisus jätkub, kui andmed viiakse muule töökohale.</w:t>
      </w:r>
    </w:p>
    <w:p w:rsidR="00010DDB" w:rsidRPr="00E74148" w:rsidRDefault="00010DDB" w:rsidP="00E74148">
      <w:pPr>
        <w:pStyle w:val="Pealkiri5"/>
        <w:widowControl w:val="0"/>
        <w:spacing w:after="100" w:afterAutospacing="1"/>
        <w:rPr>
          <w:i/>
          <w:sz w:val="24"/>
          <w:szCs w:val="24"/>
        </w:rPr>
      </w:pPr>
      <w:bookmarkStart w:id="78" w:name="_Toc380075637"/>
      <w:r>
        <w:rPr>
          <w:i/>
          <w:sz w:val="24"/>
        </w:rPr>
        <w:t>2.3. Planeerimine</w:t>
      </w:r>
      <w:bookmarkEnd w:id="78"/>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Maksuametitel peab olema plaan, kuidas töötada välja, dokumenteerida, kaasajastada ja rakendada infosüsteemide turvalisust.</w:t>
      </w:r>
    </w:p>
    <w:p w:rsidR="00A477F7" w:rsidRDefault="00010DDB" w:rsidP="00E74148">
      <w:pPr>
        <w:pStyle w:val="Pealkiri5"/>
        <w:widowControl w:val="0"/>
        <w:spacing w:after="100" w:afterAutospacing="1"/>
        <w:rPr>
          <w:i/>
          <w:sz w:val="24"/>
          <w:szCs w:val="24"/>
        </w:rPr>
      </w:pPr>
      <w:bookmarkStart w:id="79" w:name="_Toc380075638"/>
      <w:r>
        <w:rPr>
          <w:i/>
          <w:sz w:val="24"/>
        </w:rPr>
        <w:t>2.4. Konfiguratsioonihaldus</w:t>
      </w:r>
      <w:bookmarkEnd w:id="79"/>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reguleerima ja haldama infosüsteemide konfiguratsiooni. Selleks peavad nad välja töötama, dokumenteerima, levitama ja kaasajastama asjakohased turvaregulatsioonid.</w:t>
      </w:r>
    </w:p>
    <w:p w:rsidR="00010DDB" w:rsidRPr="00E74148" w:rsidRDefault="00010DDB" w:rsidP="00E74148">
      <w:pPr>
        <w:pStyle w:val="Pealkiri5"/>
        <w:widowControl w:val="0"/>
        <w:spacing w:after="100" w:afterAutospacing="1"/>
        <w:rPr>
          <w:i/>
          <w:sz w:val="24"/>
          <w:szCs w:val="24"/>
        </w:rPr>
      </w:pPr>
      <w:bookmarkStart w:id="80" w:name="_Toc380075639"/>
      <w:r>
        <w:rPr>
          <w:i/>
          <w:sz w:val="24"/>
        </w:rPr>
        <w:t>2.5. Ligipääsu reguleerimine</w:t>
      </w:r>
      <w:bookmarkEnd w:id="80"/>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piirama süsteemile (sealhulgas teistele infosüsteemidele) ligipääsu volitatud kasutajate ja seadmetega. Volitatud kasutajatele peab seadma piirangud, et neil oleks ligipääs vaid sellistele tehingutele ja funktsioonidele, millele neil on õigus.</w:t>
      </w:r>
    </w:p>
    <w:p w:rsidR="00010DDB" w:rsidRPr="00E74148" w:rsidRDefault="00010DDB" w:rsidP="00E74148">
      <w:pPr>
        <w:pStyle w:val="Pealkiri5"/>
        <w:widowControl w:val="0"/>
        <w:spacing w:after="100" w:afterAutospacing="1"/>
        <w:rPr>
          <w:i/>
          <w:sz w:val="24"/>
          <w:szCs w:val="24"/>
        </w:rPr>
      </w:pPr>
      <w:bookmarkStart w:id="81" w:name="_Toc380075640"/>
      <w:r>
        <w:rPr>
          <w:i/>
          <w:sz w:val="24"/>
        </w:rPr>
        <w:lastRenderedPageBreak/>
        <w:t>2.6. Identifitseerimine ja autentimine</w:t>
      </w:r>
      <w:bookmarkEnd w:id="81"/>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Infosüsteemides peab olema võimalik hoiustada ja autentida infosüsteemile ligipääsu nõudvate kasutajate ja seadmete identiteete. Infosüsteemid peavad suutma ka tuvastada volitamata kasutajat ja takistada tal konfidentsiaalsele teabele ligi pääseda.</w:t>
      </w:r>
    </w:p>
    <w:p w:rsidR="00010DDB" w:rsidRPr="00E74148" w:rsidRDefault="00010DDB" w:rsidP="00E74148">
      <w:pPr>
        <w:pStyle w:val="Pealkiri5"/>
        <w:widowControl w:val="0"/>
        <w:spacing w:after="100" w:afterAutospacing="1"/>
        <w:rPr>
          <w:i/>
          <w:sz w:val="24"/>
          <w:szCs w:val="24"/>
        </w:rPr>
      </w:pPr>
      <w:bookmarkStart w:id="82" w:name="_Toc380075641"/>
      <w:r>
        <w:rPr>
          <w:i/>
          <w:sz w:val="24"/>
        </w:rPr>
        <w:t>2.7. Audit ja vastutus</w:t>
      </w:r>
      <w:bookmarkEnd w:id="82"/>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Volitamata kasutajaid saab vastutusele võtta vaid juhul, kui nende tegevust saab jälitada. Selle tõttu on oluline, et maksuametid koostaks ja säilitaks infosüsteemi auditi andmeid, et jälgida, analüüsida, uurida ja kanda ette ebaseaduslikku, volitamata või sobimatut tegevust infosüsteemis.</w:t>
      </w:r>
    </w:p>
    <w:p w:rsidR="00010DDB" w:rsidRPr="00E74148" w:rsidRDefault="00010DDB" w:rsidP="00E74148">
      <w:pPr>
        <w:pStyle w:val="Pealkiri5"/>
        <w:widowControl w:val="0"/>
        <w:spacing w:after="100" w:afterAutospacing="1"/>
        <w:rPr>
          <w:i/>
          <w:sz w:val="24"/>
          <w:szCs w:val="24"/>
        </w:rPr>
      </w:pPr>
      <w:bookmarkStart w:id="83" w:name="_Toc380075642"/>
      <w:r>
        <w:rPr>
          <w:i/>
          <w:sz w:val="24"/>
        </w:rPr>
        <w:t>2.8. Hooldus</w:t>
      </w:r>
      <w:bookmarkEnd w:id="83"/>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tegema korrapäraseid ja õigeaegseid süsteemihooldusi ning nägema ette tõhusa järelevalve süsteemihoolduse vahendite, tehnoloogiate ja mehhanismide ning neid kasutavate töötajate üle.</w:t>
      </w:r>
    </w:p>
    <w:p w:rsidR="00010DDB" w:rsidRPr="00E74148" w:rsidRDefault="00010DDB" w:rsidP="00E74148">
      <w:pPr>
        <w:pStyle w:val="Pealkiri5"/>
        <w:widowControl w:val="0"/>
        <w:spacing w:after="100" w:afterAutospacing="1"/>
        <w:rPr>
          <w:i/>
          <w:sz w:val="24"/>
          <w:szCs w:val="24"/>
        </w:rPr>
      </w:pPr>
      <w:bookmarkStart w:id="84" w:name="_Toc380075643"/>
      <w:r>
        <w:rPr>
          <w:i/>
          <w:sz w:val="24"/>
        </w:rPr>
        <w:t>2.9. Süsteemi- ja sidekaitse</w:t>
      </w:r>
      <w:bookmarkEnd w:id="84"/>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jälgima, kontrollima ja kaitsma sidet infosüsteemide välis- ja sisepiiril. Need kontrollimehhanismid peavad sisaldama tegevuskordasid jääkandmete kõrvaldamiseks, edastuse konfidentsiaalsuse tagamiseks ja krüpteerimise valideerimiseks.</w:t>
      </w:r>
    </w:p>
    <w:p w:rsidR="00010DDB" w:rsidRPr="00E74148" w:rsidRDefault="00010DDB" w:rsidP="00E74148">
      <w:pPr>
        <w:pStyle w:val="Pealkiri5"/>
        <w:widowControl w:val="0"/>
        <w:spacing w:after="100" w:afterAutospacing="1"/>
        <w:rPr>
          <w:i/>
          <w:sz w:val="24"/>
          <w:szCs w:val="24"/>
        </w:rPr>
      </w:pPr>
      <w:bookmarkStart w:id="85" w:name="_Toc380075644"/>
      <w:r>
        <w:rPr>
          <w:i/>
          <w:sz w:val="24"/>
        </w:rPr>
        <w:t>2.10. Süsteemi ja teabe rikkumatus</w:t>
      </w:r>
      <w:bookmarkEnd w:id="85"/>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õigel ajal tuvastama, ette kandma ja parandama teabe sidetehnoloogia turvalisusega seotud vahejuhtumeid (või võtma nende tagajärgede kõrvaldamiseks meetmeid), tagades kaitse ründeprogrammide eest ja jälgides süsteemi turvahoiatusi ja juhiseid.</w:t>
      </w:r>
    </w:p>
    <w:p w:rsidR="00010DDB" w:rsidRPr="00E74148" w:rsidRDefault="00010DDB" w:rsidP="00E74148">
      <w:pPr>
        <w:pStyle w:val="Pealkiri5"/>
        <w:widowControl w:val="0"/>
        <w:spacing w:after="100" w:afterAutospacing="1"/>
        <w:rPr>
          <w:i/>
          <w:sz w:val="24"/>
          <w:szCs w:val="24"/>
        </w:rPr>
      </w:pPr>
      <w:bookmarkStart w:id="86" w:name="_Toc380075645"/>
      <w:r>
        <w:rPr>
          <w:i/>
          <w:sz w:val="24"/>
        </w:rPr>
        <w:t>2.11. Turvahinnangud</w:t>
      </w:r>
      <w:bookmarkEnd w:id="86"/>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 peab välja töötama tegevuskorra, mille alusel vaadatakse üle protsessid, mida kasutatakse andmete kaitsmiseks, puudujääkide kõrvaldamiseks ja kitsaskohtade vähendamiseks ette nähtud turvameetmete testimiseks, valideerimiseks ja heaks kiitmiseks, ning seda korrapäraselt kaasajastama. Kaasajastamise sagedus põhineb riskidel, kuid siiski tuleb seda teha kohaste ajavahemike järel kooskõlas rahvusvaheliselt tunnustatud standardite või parima praktikaga. Samuti peab maksuametil olema tegevuskord, mille alusel vaadatakse üle infosüsteemi toimingute ja ühenduste autoriseerimise viis, ning tegevuskord süsteemi turvameetmete jälgimiseks.</w:t>
      </w:r>
    </w:p>
    <w:p w:rsidR="00010DDB" w:rsidRPr="00E74148" w:rsidRDefault="00010DDB" w:rsidP="00E74148">
      <w:pPr>
        <w:pStyle w:val="Pealkiri5"/>
        <w:widowControl w:val="0"/>
        <w:spacing w:after="100" w:afterAutospacing="1"/>
        <w:rPr>
          <w:i/>
          <w:sz w:val="24"/>
          <w:szCs w:val="24"/>
        </w:rPr>
      </w:pPr>
      <w:bookmarkStart w:id="87" w:name="_Toc380075646"/>
      <w:r>
        <w:rPr>
          <w:i/>
          <w:sz w:val="24"/>
        </w:rPr>
        <w:t>2.12. Situatsiooniplaneerimine</w:t>
      </w:r>
      <w:bookmarkEnd w:id="87"/>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koostama hädaolukorrale reageerimise ning infosüsteemide varundustoimingute ja katastroofijärgse taastamise plaanid ja neid rakendama.</w:t>
      </w:r>
    </w:p>
    <w:p w:rsidR="00010DDB" w:rsidRPr="00E74148" w:rsidRDefault="00010DDB" w:rsidP="00E74148">
      <w:pPr>
        <w:pStyle w:val="Pealkiri5"/>
        <w:widowControl w:val="0"/>
        <w:spacing w:after="100" w:afterAutospacing="1"/>
        <w:rPr>
          <w:i/>
          <w:sz w:val="24"/>
          <w:szCs w:val="24"/>
        </w:rPr>
      </w:pPr>
      <w:bookmarkStart w:id="88" w:name="_Toc380075647"/>
      <w:r>
        <w:rPr>
          <w:i/>
          <w:sz w:val="24"/>
        </w:rPr>
        <w:t>2.13. Riskihindamine</w:t>
      </w:r>
      <w:bookmarkEnd w:id="88"/>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Maksuamet peab hindama võimalikku riski, mida kujutab endast volitamata ligipääs maksumaksjaid puudutavale teabele, samuti sellise teabe või maksumaksjate infosüsteemide volitamata kasutamise, avaldamise, rikkumise, muutmise või hävitamise riski ja kahju ulatust. Riskihinnangut tuleb kaasajastada korrapäraselt või siis, kui tehakse olulisi muudatusi infosüsteemis, rajatises, kus süsteem asub, või muudes tingimustes, mis võivad mõjutada süsteemi turvalisust või akrediteeringut.</w:t>
      </w:r>
    </w:p>
    <w:p w:rsidR="00010DDB" w:rsidRPr="00E74148" w:rsidRDefault="00010DDB" w:rsidP="00E74148">
      <w:pPr>
        <w:pStyle w:val="Pealkiri5"/>
        <w:widowControl w:val="0"/>
        <w:spacing w:after="100" w:afterAutospacing="1"/>
        <w:rPr>
          <w:i/>
          <w:sz w:val="24"/>
          <w:szCs w:val="24"/>
        </w:rPr>
      </w:pPr>
      <w:bookmarkStart w:id="89" w:name="_Toc380075648"/>
      <w:r>
        <w:rPr>
          <w:i/>
          <w:sz w:val="24"/>
        </w:rPr>
        <w:t>2.14. Süsteemide ja teenuste hankimine</w:t>
      </w:r>
      <w:bookmarkEnd w:id="89"/>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tagama, et kolmandad isikud, kes tarnivad infosüsteeme, mida kasutatakse vahetatava teabe töötlemiseks, hoiustamiseks ja edastamiseks, rakendavad turvameetmeid, mis on kooskõlas vajalike arvuti turvalisuse nõuetega.</w:t>
      </w:r>
    </w:p>
    <w:p w:rsidR="00010DDB" w:rsidRPr="00E74148" w:rsidRDefault="00010DDB" w:rsidP="00E74148">
      <w:pPr>
        <w:pStyle w:val="Pealkiri5"/>
        <w:widowControl w:val="0"/>
        <w:spacing w:after="100" w:afterAutospacing="1"/>
        <w:rPr>
          <w:i/>
          <w:sz w:val="24"/>
          <w:szCs w:val="24"/>
        </w:rPr>
      </w:pPr>
      <w:bookmarkStart w:id="90" w:name="_Toc380075649"/>
      <w:r>
        <w:rPr>
          <w:i/>
          <w:sz w:val="24"/>
        </w:rPr>
        <w:t>2.15. Andmekandjate kaitse</w:t>
      </w:r>
      <w:bookmarkEnd w:id="90"/>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Maksuametid peavad kaitsma prinditud või digitaalsel andmekandjal olevat teavet, lubama teabele ligi pääseda vaid volitatud kasutajatel ja enne digitaalse andmekandja hävitamist või uuesti kasutamist sellelt teabe kustutama.</w:t>
      </w:r>
    </w:p>
    <w:p w:rsidR="00010DDB" w:rsidRPr="00E74148" w:rsidRDefault="00010DDB" w:rsidP="00E74148">
      <w:pPr>
        <w:pStyle w:val="Pealkiri5"/>
        <w:widowControl w:val="0"/>
        <w:spacing w:after="100" w:afterAutospacing="1"/>
        <w:rPr>
          <w:i/>
          <w:sz w:val="24"/>
          <w:szCs w:val="24"/>
        </w:rPr>
      </w:pPr>
      <w:bookmarkStart w:id="91" w:name="_Toc380075650"/>
      <w:r>
        <w:rPr>
          <w:i/>
          <w:sz w:val="24"/>
        </w:rPr>
        <w:t>2.16. Andmetuvastus</w:t>
      </w:r>
      <w:bookmarkEnd w:id="91"/>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Vahetatavad andmed peavad alati olema kaitstud tahtmatu avaldamise eest. Kui andmed on failis, mis sisaldab ka muid andmeid, ja füüsiline eraldamine ei ole praktiline, tuleb kehtestada tegevuskord, mille alusel tagatakse, et kogu fail on kaitstud ja on selgelt märgitud, et see sisaldab vahetatud andmeid. Teave ise peab samuti olema selgelt märgistatud.</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Kehtestatud peab olema tegevuskord, mille alusel tagatakse, et enne faili andmist isikule või asutusele, kellel ei ole õigust vahetatud andmetele ligi pääseda, eemaldatakse kõik sellised andmed. Kui andmeid hoitakse andmebaasis, peab olema kehtestatud tegevuskord, mille alusel tagatakse, et enne andmebaasile ligipääsu võimaldamist isikule või asutusele, kellel ei ole õigust vahetatud andmetele ligi pääseda, kustutatakse andmebaasist kõik sellised andmed (või need eraldatakse / neid kaitstakse viisil, mis takistab volitamata isikul või asutusel andmetele ligi pääseda).</w:t>
      </w:r>
    </w:p>
    <w:p w:rsidR="00010DDB" w:rsidRPr="00E74148" w:rsidRDefault="00010DDB" w:rsidP="00E74148">
      <w:pPr>
        <w:pStyle w:val="Pealkiri5"/>
        <w:widowControl w:val="0"/>
        <w:spacing w:after="100" w:afterAutospacing="1"/>
        <w:rPr>
          <w:i/>
          <w:sz w:val="24"/>
          <w:szCs w:val="24"/>
        </w:rPr>
      </w:pPr>
      <w:bookmarkStart w:id="92" w:name="_Toc380075651"/>
      <w:r>
        <w:rPr>
          <w:i/>
          <w:sz w:val="24"/>
        </w:rPr>
        <w:t>2.17. Teabe hävitamise tegevuskord</w:t>
      </w:r>
      <w:bookmarkEnd w:id="92"/>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Maksuametitel peab olema tegevuskord, milles nõutakse, et andmed tuleb hävitada kohe, kui neid enam ei vajata, ja millega tagatakse konfidentsiaalse teabe turvaline hävitamine. Paberdokumentide puhul sobib paberihunt, põleti ja lukustatud prügikast purustatud dokumentide jaoks; elektroonilised dokumendid tuleb kustutada, kui neid enam ei vajata. Konfidentsiaalne teave tuleb enne arvutite ja mäluseadmete teisele isikule andmist kustutada.</w:t>
      </w:r>
    </w:p>
    <w:p w:rsidR="00010DDB" w:rsidRPr="00E74148" w:rsidRDefault="00010DDB" w:rsidP="00E74148">
      <w:pPr>
        <w:pStyle w:val="Pealkiri5"/>
        <w:widowControl w:val="0"/>
        <w:spacing w:after="100" w:afterAutospacing="1"/>
        <w:rPr>
          <w:bCs/>
          <w:sz w:val="24"/>
          <w:szCs w:val="24"/>
        </w:rPr>
      </w:pPr>
      <w:bookmarkStart w:id="93" w:name="_Toc380075652"/>
      <w:bookmarkStart w:id="94" w:name="_Toc365467891"/>
      <w:bookmarkStart w:id="95" w:name="_Toc363127173"/>
      <w:r>
        <w:rPr>
          <w:sz w:val="24"/>
        </w:rPr>
        <w:t xml:space="preserve">3. </w:t>
      </w:r>
      <w:bookmarkEnd w:id="93"/>
      <w:bookmarkEnd w:id="94"/>
      <w:bookmarkEnd w:id="95"/>
      <w:r>
        <w:rPr>
          <w:sz w:val="24"/>
        </w:rPr>
        <w:t>Nõuetelevastavuse jälgimine ja sanktsioonid konfidentsiaalsusnõude rikkumise korral</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Lisaks vahetatava teabe konfidentsiaalsena hoidmisele peavad maksuametid suutma tagada, et sellist teavet kasutatakse üksnes kohaldatavas teabevahetuse lepingus määratletud eesmärkidel. Seega ei piisa vahetatud maksuandmete kaitsmiseks üksnes kooskõlast aktsepteeritava infoturbe raamistikuga. Lisaks peab riigisisene õigus kehtestama karistused või sanktsioonid maksumaksjaid puudutava teabe nõuetevastase avaldamise või kasutamise </w:t>
      </w:r>
      <w:r w:rsidR="00010DDB">
        <w:rPr>
          <w:sz w:val="24"/>
        </w:rPr>
        <w:lastRenderedPageBreak/>
        <w:t>eest. Selliste seaduste rakendamise tagamiseks peavad olemas olema kohased haldusvahendid ja tegevuskorrad.</w:t>
      </w:r>
    </w:p>
    <w:p w:rsidR="00010DDB" w:rsidRPr="00E74148" w:rsidRDefault="00010DDB" w:rsidP="00E74148">
      <w:pPr>
        <w:pStyle w:val="Pealkiri5"/>
        <w:widowControl w:val="0"/>
        <w:spacing w:after="100" w:afterAutospacing="1"/>
        <w:rPr>
          <w:i/>
          <w:sz w:val="24"/>
          <w:szCs w:val="24"/>
        </w:rPr>
      </w:pPr>
      <w:bookmarkStart w:id="96" w:name="_Toc380075653"/>
      <w:r>
        <w:rPr>
          <w:i/>
          <w:sz w:val="24"/>
        </w:rPr>
        <w:t>3.1. Karistused ja sanktsioonid</w:t>
      </w:r>
      <w:bookmarkEnd w:id="96"/>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Riigisisese õigusega tuleb sätestada karistused või sanktsioonid maksumaksjaid puudutava teabe nõuetevastase avaldamise või kasutamise eest ja maksuametid peavad kohaldama neid karistusi ja sanktsioone turvapoliitikat rikkunud töötajate suhtes, et hoiatada teisi sarnaste rikkumiste eest. Selliste seaduste rakendamise tagamiseks peavad olemas olema kohased haldusvahendid ja tegevuskorrad. Maksuametid peavad kehtestama ametliku menetluse infoturbe tegevuskorda rikkuvatele töötajatele ja kolmandast isikust tarnijatele sanktsioonide määramiseks. Tegevuskorrad peavad sisaldama nii tsiviil- kui ka kriminaalsanktsioone volitamata ligipääsu või avaldamise eest.</w:t>
      </w:r>
    </w:p>
    <w:p w:rsidR="00010DDB" w:rsidRPr="00E74148" w:rsidRDefault="00010DDB" w:rsidP="00E74148">
      <w:pPr>
        <w:pStyle w:val="Pealkiri5"/>
        <w:widowControl w:val="0"/>
        <w:spacing w:after="100" w:afterAutospacing="1"/>
        <w:rPr>
          <w:i/>
          <w:sz w:val="24"/>
          <w:szCs w:val="24"/>
        </w:rPr>
      </w:pPr>
      <w:bookmarkStart w:id="97" w:name="_Toc380075654"/>
      <w:r>
        <w:rPr>
          <w:i/>
          <w:sz w:val="24"/>
        </w:rPr>
        <w:t>3.2. Järelevalve volitamata ligipääsu ja avaldamise üle</w:t>
      </w:r>
      <w:bookmarkEnd w:id="97"/>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Lisaks konfidentsiaalsele teabele ligipääsu reguleerivatele tegevuskordadele peavad maksuametid olema kehtestanud menetlused tegevuskordade järgimise üle järelevalve tegemiseks ning volitamata ligipääsu ja avaldamise tuvastamiseks. Nõuete rikkumise korral tuleb korraldada uurimine ja juhtkonna jaoks tuleb koostada aruanne. Aruanne peab sisaldama</w:t>
      </w:r>
    </w:p>
    <w:p w:rsidR="00010DDB" w:rsidRPr="00E74148" w:rsidRDefault="00010DDB" w:rsidP="00E74148">
      <w:pPr>
        <w:pStyle w:val="Loenditpp"/>
        <w:widowControl w:val="0"/>
        <w:spacing w:after="100" w:afterAutospacing="1"/>
        <w:rPr>
          <w:sz w:val="24"/>
          <w:szCs w:val="24"/>
        </w:rPr>
      </w:pPr>
      <w:r>
        <w:rPr>
          <w:sz w:val="24"/>
        </w:rPr>
        <w:t>soovitusi vahejuhtumi tagajärgede minimeerimiseks;</w:t>
      </w:r>
    </w:p>
    <w:p w:rsidR="00010DDB" w:rsidRPr="00E74148" w:rsidRDefault="00010DDB" w:rsidP="00E74148">
      <w:pPr>
        <w:pStyle w:val="Loenditpp"/>
        <w:widowControl w:val="0"/>
        <w:spacing w:after="100" w:afterAutospacing="1"/>
        <w:rPr>
          <w:sz w:val="24"/>
          <w:szCs w:val="24"/>
        </w:rPr>
      </w:pPr>
      <w:r>
        <w:rPr>
          <w:sz w:val="24"/>
        </w:rPr>
        <w:t>analüüsi selle kohta, kuidas sarnaseid vahejuhtumeid tulevikus ära hoida;</w:t>
      </w:r>
    </w:p>
    <w:p w:rsidR="00010DDB" w:rsidRPr="00E74148" w:rsidRDefault="00010DDB" w:rsidP="00E74148">
      <w:pPr>
        <w:pStyle w:val="Loenditpp"/>
        <w:widowControl w:val="0"/>
        <w:spacing w:after="100" w:afterAutospacing="1"/>
        <w:rPr>
          <w:sz w:val="24"/>
          <w:szCs w:val="24"/>
        </w:rPr>
      </w:pPr>
      <w:r>
        <w:rPr>
          <w:sz w:val="24"/>
        </w:rPr>
        <w:t>soovitusi karistuste kohta, mida mõista rikkumise eest vastutava(te)le isiku(te)le, märkides, et teabe tahtliku avaldamise kahtluse korral tuleb kaasata korrakaitseorgan; ja</w:t>
      </w:r>
    </w:p>
    <w:p w:rsidR="00010DDB" w:rsidRPr="00E74148" w:rsidRDefault="00010DDB" w:rsidP="00E74148">
      <w:pPr>
        <w:pStyle w:val="Loenditpp"/>
        <w:widowControl w:val="0"/>
        <w:spacing w:after="100" w:afterAutospacing="1"/>
        <w:rPr>
          <w:sz w:val="24"/>
          <w:szCs w:val="24"/>
        </w:rPr>
      </w:pPr>
      <w:r>
        <w:rPr>
          <w:sz w:val="24"/>
        </w:rPr>
        <w:t>põhjusi, miks ollakse kindlad, et pärast elluviimist hoiavad soovitatud süsteemimuutused ja karistused tulevikus sarnaseid rikkumisi ära.</w:t>
      </w:r>
    </w:p>
    <w:p w:rsidR="00010DDB" w:rsidRPr="00E74148" w:rsidRDefault="00F15FDA" w:rsidP="00324DEF">
      <w:pPr>
        <w:pStyle w:val="Num-DocParagraph"/>
        <w:widowControl w:val="0"/>
        <w:numPr>
          <w:ilvl w:val="0"/>
          <w:numId w:val="69"/>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Lisaks peab maksuametitel olema kehtestatud menetlus, millega vaadatakse üle ja kiidetakse heaks soovitused tegevuskordade ja menetluste muutmiseks, et hoida ära tulevasi rikkumisi. Maksuameti uurimisasutus või kõrgem juhtkond peab tagama heaks kiidetud soovituste elluviimise.</w:t>
      </w:r>
    </w:p>
    <w:bookmarkStart w:id="98" w:name="_Toc374431887"/>
    <w:bookmarkStart w:id="99" w:name="_Toc374431982"/>
    <w:bookmarkStart w:id="100" w:name="_Toc386641316"/>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101" w:name="_Toc389723148"/>
      <w:bookmarkStart w:id="102" w:name="_Toc420331816"/>
      <w:bookmarkStart w:id="103" w:name="_Toc420331885"/>
      <w:r w:rsidRPr="00E74148">
        <w:rPr>
          <w:sz w:val="24"/>
          <w:szCs w:val="24"/>
        </w:rPr>
        <w:fldChar w:fldCharType="end"/>
      </w:r>
      <w:r w:rsidR="00010DDB">
        <w:rPr>
          <w:sz w:val="24"/>
        </w:rPr>
        <w:t>Konsultatsioone ja muudatusi käsitleva artikli 6 kommentaarid</w:t>
      </w:r>
      <w:bookmarkEnd w:id="98"/>
      <w:bookmarkEnd w:id="99"/>
      <w:bookmarkEnd w:id="100"/>
      <w:bookmarkEnd w:id="101"/>
      <w:bookmarkEnd w:id="102"/>
      <w:bookmarkEnd w:id="103"/>
    </w:p>
    <w:p w:rsidR="00010DDB" w:rsidRPr="00E74148" w:rsidRDefault="00F15FDA" w:rsidP="00324DEF">
      <w:pPr>
        <w:pStyle w:val="Num-DocParagraph"/>
        <w:widowControl w:val="0"/>
        <w:numPr>
          <w:ilvl w:val="0"/>
          <w:numId w:val="7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See artikkel käsitleb pädevate asutuste vahelisi konsultatsioone ja pädeva asutuse lepingu muudatusi.</w:t>
      </w:r>
    </w:p>
    <w:p w:rsidR="00010DDB" w:rsidRPr="00E74148" w:rsidRDefault="00010DDB" w:rsidP="00E74148">
      <w:pPr>
        <w:pStyle w:val="Pealkiri3"/>
        <w:keepNext w:val="0"/>
        <w:widowControl w:val="0"/>
        <w:spacing w:after="100" w:afterAutospacing="1"/>
        <w:rPr>
          <w:sz w:val="24"/>
          <w:szCs w:val="24"/>
        </w:rPr>
      </w:pPr>
      <w:bookmarkStart w:id="104" w:name="_Toc420331817"/>
      <w:bookmarkStart w:id="105" w:name="_Toc420331886"/>
      <w:r>
        <w:rPr>
          <w:sz w:val="24"/>
        </w:rPr>
        <w:t>Lõige 1 – konsultatsioonid</w:t>
      </w:r>
      <w:bookmarkEnd w:id="104"/>
      <w:bookmarkEnd w:id="105"/>
    </w:p>
    <w:p w:rsidR="00010DDB" w:rsidRPr="00E74148" w:rsidRDefault="00F15FDA" w:rsidP="00324DEF">
      <w:pPr>
        <w:pStyle w:val="Num-DocParagraph"/>
        <w:widowControl w:val="0"/>
        <w:numPr>
          <w:ilvl w:val="0"/>
          <w:numId w:val="7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Pr="00E74148">
        <w:rPr>
          <w:sz w:val="24"/>
          <w:szCs w:val="24"/>
        </w:rPr>
        <w:fldChar w:fldCharType="begin"/>
      </w:r>
      <w:r w:rsidR="00010DDB">
        <w:rPr>
          <w:sz w:val="24"/>
          <w:szCs w:val="24"/>
        </w:rPr>
        <w:instrText>MACROBUTTON PARADOC</w:instrText>
      </w:r>
      <w:r w:rsidRPr="00E74148">
        <w:rPr>
          <w:sz w:val="24"/>
          <w:szCs w:val="24"/>
        </w:rPr>
        <w:fldChar w:fldCharType="end"/>
      </w:r>
      <w:r w:rsidR="00010DDB">
        <w:rPr>
          <w:sz w:val="24"/>
        </w:rPr>
        <w:t>Selles lõikes sätestatakse, et käesoleva lepingu rakendamisel tekkivate raskuste korral võib pädev asutus taotleda konsultatsioone, et töötada välja meetmed, mis tagavad käesoleva lepingu täitmise. Konsultatsioone võib pidada ka saadud teabe kvaliteedi analüüsimiseks.</w:t>
      </w:r>
    </w:p>
    <w:p w:rsidR="00010DDB" w:rsidRPr="00E74148" w:rsidRDefault="00F15FDA" w:rsidP="00324DEF">
      <w:pPr>
        <w:pStyle w:val="Num-DocParagraph"/>
        <w:widowControl w:val="0"/>
        <w:numPr>
          <w:ilvl w:val="0"/>
          <w:numId w:val="7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Pädevad asutused võivad omavahel suhelda kirja, faksi või telefoni teel või kohtumistel </w:t>
      </w:r>
      <w:r w:rsidR="00010DDB">
        <w:rPr>
          <w:sz w:val="24"/>
        </w:rPr>
        <w:lastRenderedPageBreak/>
        <w:t>või muul viisil, et jõuda kokkuleppele lepingu täitmise tagamiseks kohastes meetmetes.</w:t>
      </w:r>
    </w:p>
    <w:p w:rsidR="00010DDB" w:rsidRPr="00E74148" w:rsidRDefault="00010DDB" w:rsidP="00E74148">
      <w:pPr>
        <w:pStyle w:val="Pealkiri3"/>
        <w:keepNext w:val="0"/>
        <w:widowControl w:val="0"/>
        <w:spacing w:after="100" w:afterAutospacing="1"/>
        <w:rPr>
          <w:sz w:val="24"/>
          <w:szCs w:val="24"/>
        </w:rPr>
      </w:pPr>
      <w:bookmarkStart w:id="106" w:name="_Toc420331818"/>
      <w:bookmarkStart w:id="107" w:name="_Toc420331887"/>
      <w:r>
        <w:rPr>
          <w:sz w:val="24"/>
        </w:rPr>
        <w:t>Lõige 2 – muudatused</w:t>
      </w:r>
      <w:bookmarkEnd w:id="106"/>
      <w:bookmarkEnd w:id="107"/>
    </w:p>
    <w:p w:rsidR="00010DDB" w:rsidRPr="00E74148" w:rsidRDefault="00F15FDA" w:rsidP="00324DEF">
      <w:pPr>
        <w:pStyle w:val="Num-DocParagraph"/>
        <w:widowControl w:val="0"/>
        <w:numPr>
          <w:ilvl w:val="0"/>
          <w:numId w:val="7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lõikes selgitatakse, et lepingut võib muuta pädevate asutuste kirjalikul kokkuleppel. Kui pole kokku lepitud teisiti, jõustub muudatus</w:t>
      </w:r>
    </w:p>
    <w:p w:rsidR="00010DDB" w:rsidRPr="00E74148" w:rsidRDefault="00010DDB" w:rsidP="00E74148">
      <w:pPr>
        <w:pStyle w:val="Loenditpp"/>
        <w:widowControl w:val="0"/>
        <w:spacing w:after="100" w:afterAutospacing="1"/>
        <w:rPr>
          <w:sz w:val="24"/>
          <w:szCs w:val="24"/>
        </w:rPr>
      </w:pPr>
      <w:r>
        <w:rPr>
          <w:sz w:val="24"/>
        </w:rPr>
        <w:t>kirjaliku kokkuleppe hilisema allkirjastamise kuupäevale või</w:t>
      </w:r>
    </w:p>
    <w:p w:rsidR="00010DDB" w:rsidRPr="00E74148" w:rsidRDefault="00010DDB" w:rsidP="00E74148">
      <w:pPr>
        <w:pStyle w:val="Loenditpp"/>
        <w:widowControl w:val="0"/>
        <w:spacing w:after="100" w:afterAutospacing="1"/>
        <w:rPr>
          <w:sz w:val="24"/>
          <w:szCs w:val="24"/>
        </w:rPr>
      </w:pPr>
      <w:r>
        <w:rPr>
          <w:sz w:val="24"/>
        </w:rPr>
        <w:t>kirjaliku kokkuleppega seotud teadete hilisema vahetamise kuupäevale</w:t>
      </w:r>
      <w:r w:rsidR="00914492">
        <w:rPr>
          <w:sz w:val="24"/>
        </w:rPr>
        <w:t xml:space="preserve"> </w:t>
      </w:r>
      <w:r>
        <w:rPr>
          <w:sz w:val="24"/>
        </w:rPr>
        <w:t>järgneva ühekuulise perioodi lõppemisele järgneva kuu esimesel päeval.</w:t>
      </w:r>
    </w:p>
    <w:bookmarkStart w:id="108" w:name="_Toc374431890"/>
    <w:bookmarkStart w:id="109" w:name="_Toc374431983"/>
    <w:p w:rsidR="00010DDB" w:rsidRPr="00E74148" w:rsidRDefault="00F15FDA" w:rsidP="00324DEF">
      <w:pPr>
        <w:pStyle w:val="Num-DocParagraph"/>
        <w:widowControl w:val="0"/>
        <w:numPr>
          <w:ilvl w:val="0"/>
          <w:numId w:val="70"/>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Pr="00E74148">
        <w:rPr>
          <w:sz w:val="24"/>
          <w:szCs w:val="24"/>
        </w:rPr>
        <w:fldChar w:fldCharType="begin"/>
      </w:r>
      <w:r w:rsidR="00010DDB">
        <w:rPr>
          <w:sz w:val="24"/>
          <w:szCs w:val="24"/>
        </w:rPr>
        <w:instrText>MACROBUTTON PARADOC</w:instrText>
      </w:r>
      <w:r w:rsidRPr="00E74148">
        <w:rPr>
          <w:sz w:val="24"/>
          <w:szCs w:val="24"/>
        </w:rPr>
        <w:fldChar w:fldCharType="end"/>
      </w:r>
      <w:r w:rsidR="00010DDB">
        <w:rPr>
          <w:sz w:val="24"/>
        </w:rPr>
        <w:t>Nagu on pädeva asutuse mudellepingu kommentaaride sissejuhatuses märgitud, võivad jurisdiktsioonid sõlmida ka mitmepoolse valitsustevahelise lepingu või mitu valitsustevahelist lepingut, mis oleksid rahvusvahelised lepingud nende oma õiguses, hõlmates nii aruandekohustusi kui ka hoolsusmeetmeid, mis on seotud piiratuma pädeva asutuse lepinguga. Sellisel juhul võivad muudatuste kohta kehtida erinevad nõuded.</w:t>
      </w:r>
    </w:p>
    <w:bookmarkStart w:id="110" w:name="_Toc386641317"/>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111" w:name="_Toc389723149"/>
      <w:bookmarkStart w:id="112" w:name="_Toc420331819"/>
      <w:bookmarkStart w:id="113" w:name="_Toc420331888"/>
      <w:r w:rsidRPr="00E74148">
        <w:rPr>
          <w:sz w:val="24"/>
          <w:szCs w:val="24"/>
        </w:rPr>
        <w:fldChar w:fldCharType="end"/>
      </w:r>
      <w:r w:rsidR="00010DDB">
        <w:rPr>
          <w:sz w:val="24"/>
        </w:rPr>
        <w:t>Lepingu tähtaega käsitleva artikli 7 kommentaarid</w:t>
      </w:r>
      <w:bookmarkEnd w:id="108"/>
      <w:bookmarkEnd w:id="109"/>
      <w:bookmarkEnd w:id="110"/>
      <w:bookmarkEnd w:id="111"/>
      <w:bookmarkEnd w:id="112"/>
      <w:bookmarkEnd w:id="113"/>
    </w:p>
    <w:p w:rsidR="00010DDB" w:rsidRPr="00E74148" w:rsidRDefault="00010DDB" w:rsidP="00E74148">
      <w:pPr>
        <w:pStyle w:val="Pealkiri3"/>
        <w:keepNext w:val="0"/>
        <w:widowControl w:val="0"/>
        <w:spacing w:after="100" w:afterAutospacing="1"/>
        <w:rPr>
          <w:sz w:val="24"/>
          <w:szCs w:val="24"/>
        </w:rPr>
      </w:pPr>
      <w:bookmarkStart w:id="114" w:name="_Toc420331820"/>
      <w:bookmarkStart w:id="115" w:name="_Toc420331889"/>
      <w:r>
        <w:rPr>
          <w:sz w:val="24"/>
        </w:rPr>
        <w:t>Lõige 1 – lepingu jõustumine</w:t>
      </w:r>
      <w:bookmarkEnd w:id="114"/>
      <w:bookmarkEnd w:id="115"/>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1 sätestatakse kaks alternatiivset jõustumiskuupäeva. Esiteks, kui jurisdiktsioonid sõlmivad lepingu pärast seda, kui mõlemas jurisdiktsioonis on kehtestatud ühtse aruandluse standardi rakendamiseks vajalikud riigisisesed seadused, lepivad nad kokku lepingu jõustumise kuupäevas. Teiseks, kui pädevad asutused allkirjastavad lepingu enne, kui ühes või mõlemas jurisdiktsioonis on vajalikud seadused kehtestatud, lepivad nad tõenäoliselt kokku teises alternatiivis, mille kohaselt jõustub leping hiliseimal pädevate asutuste esitatud teadete kuupäevadest, millega teatatakse oma jurisdiktsioonis lepingu jõustumiseks vajalike riigisiseste seaduste olemasolust.</w:t>
      </w:r>
    </w:p>
    <w:p w:rsidR="00010DDB" w:rsidRPr="00E74148" w:rsidRDefault="00010DDB" w:rsidP="00E74148">
      <w:pPr>
        <w:pStyle w:val="Pealkiri3"/>
        <w:keepNext w:val="0"/>
        <w:widowControl w:val="0"/>
        <w:spacing w:after="100" w:afterAutospacing="1"/>
        <w:rPr>
          <w:sz w:val="24"/>
          <w:szCs w:val="24"/>
        </w:rPr>
      </w:pPr>
      <w:bookmarkStart w:id="116" w:name="_Toc420331821"/>
      <w:bookmarkStart w:id="117" w:name="_Toc420331890"/>
      <w:r>
        <w:rPr>
          <w:sz w:val="24"/>
        </w:rPr>
        <w:t>Lõige 2 – peatamine</w:t>
      </w:r>
      <w:bookmarkEnd w:id="116"/>
      <w:bookmarkEnd w:id="117"/>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2 sätestatakse, et pädev asutus võib käesoleva lepingu peatada, kui ta on kindlaks teinud, et teine pädev asutus rikub või on rikkunud oluliselt käesolevat lepingut. Võimaluse korral üritavad pädevad asutused rikkumist – isegi olulist rikkumist – puudutavad küsimused lahendada enne lepingu peatamise teate esitamist.</w:t>
      </w:r>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Lepingu peatamiseks peab pädev asutus esitama teisele pädevale asutusele kirjaliku teate oma kavatsuse kohta leping peatada. Teates tuleb üksikasjalikult kirjeldada olulist rikkumist, mis on toime pandud või mida pannakse toime, ja võimalusel tuleb kirjeldada ka küsimuse lahendamiseks võetavaid meetmeid. Peatamine jõustub viivitamata.</w:t>
      </w:r>
    </w:p>
    <w:p w:rsidR="00010DDB" w:rsidRPr="00914492" w:rsidRDefault="00F15FDA" w:rsidP="00324DEF">
      <w:pPr>
        <w:pStyle w:val="Num-DocParagraph"/>
        <w:widowControl w:val="0"/>
        <w:numPr>
          <w:ilvl w:val="0"/>
          <w:numId w:val="71"/>
        </w:numPr>
        <w:tabs>
          <w:tab w:val="clear" w:pos="850"/>
          <w:tab w:val="left" w:pos="567"/>
        </w:tabs>
        <w:spacing w:before="240" w:after="100" w:afterAutospacing="1"/>
        <w:ind w:left="0" w:firstLine="0"/>
        <w:rPr>
          <w:spacing w:val="-4"/>
          <w:sz w:val="24"/>
          <w:szCs w:val="24"/>
        </w:rPr>
      </w:pPr>
      <w:r w:rsidRPr="00914492">
        <w:rPr>
          <w:spacing w:val="-4"/>
          <w:sz w:val="24"/>
          <w:szCs w:val="24"/>
        </w:rPr>
        <w:fldChar w:fldCharType="begin"/>
      </w:r>
      <w:r w:rsidR="00010DDB" w:rsidRPr="00914492">
        <w:rPr>
          <w:spacing w:val="-4"/>
          <w:sz w:val="24"/>
          <w:szCs w:val="24"/>
        </w:rPr>
        <w:instrText>MACROBUTTON NUMBERING</w:instrText>
      </w:r>
      <w:r w:rsidRPr="00914492">
        <w:rPr>
          <w:spacing w:val="-4"/>
          <w:sz w:val="24"/>
          <w:szCs w:val="24"/>
        </w:rPr>
        <w:fldChar w:fldCharType="end"/>
      </w:r>
      <w:r w:rsidR="00010DDB" w:rsidRPr="00914492">
        <w:rPr>
          <w:spacing w:val="-4"/>
          <w:sz w:val="24"/>
        </w:rPr>
        <w:t>Teate saanud pädev asutus peab võimalikult kiiresti võtma meetmeid, mis on vajalikud olulise rikkumisega tegelemiseks. Kohe pärast rikkumise lahendamist peab pädev asutus teavitama teist pädevat asutust. Pärast küsimuse edukat lahendamist peab kahtlusest teatanud pädev asutus kirjalikult kinnitama teate saanud pädevale asutusele, et leping ei ole enam peatunud ja teabevahetus peaks jätkuma esimesel võimalusel.</w:t>
      </w:r>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Lõikes 2 sätestatakse, et oluline rikkumine tähendab muu hulgas</w:t>
      </w:r>
    </w:p>
    <w:p w:rsidR="00010DDB" w:rsidRPr="00E74148" w:rsidRDefault="00010DDB" w:rsidP="00E74148">
      <w:pPr>
        <w:pStyle w:val="Loenditpp"/>
        <w:widowControl w:val="0"/>
        <w:spacing w:after="100" w:afterAutospacing="1"/>
        <w:rPr>
          <w:sz w:val="24"/>
          <w:szCs w:val="24"/>
        </w:rPr>
      </w:pPr>
      <w:r>
        <w:rPr>
          <w:sz w:val="24"/>
        </w:rPr>
        <w:t>käesoleva lepingu konfidentsiaalsus- ja andmekaitsenõuete (sealhulgas pädeva asutuse lepingus nimetatud lisakaitsemeetmete) rikkumist, näiteks kui teavet kasutatakse eesmärgil, milles ei ole alusdokumendis kokku lepitud, või kui riigisiseseid õigusakte muudetakse selliselt, et teabe konfidentsiaalsus satub ohtu;</w:t>
      </w:r>
    </w:p>
    <w:p w:rsidR="00010DDB" w:rsidRPr="00E74148" w:rsidRDefault="00010DDB" w:rsidP="00E74148">
      <w:pPr>
        <w:pStyle w:val="Loenditpp"/>
        <w:widowControl w:val="0"/>
        <w:spacing w:after="100" w:afterAutospacing="1"/>
        <w:rPr>
          <w:sz w:val="24"/>
          <w:szCs w:val="24"/>
        </w:rPr>
      </w:pPr>
      <w:r>
        <w:rPr>
          <w:sz w:val="24"/>
        </w:rPr>
        <w:t>pädeva asutuse võimetust esitada teavet õigel ajal ja täpselt käesoleva lepingu nõuete kohaselt;</w:t>
      </w:r>
    </w:p>
    <w:p w:rsidR="00010DDB" w:rsidRPr="00E74148" w:rsidRDefault="00010DDB" w:rsidP="00E74148">
      <w:pPr>
        <w:pStyle w:val="Loenditpp"/>
        <w:widowControl w:val="0"/>
        <w:spacing w:after="100" w:afterAutospacing="1"/>
        <w:rPr>
          <w:sz w:val="24"/>
          <w:szCs w:val="24"/>
        </w:rPr>
      </w:pPr>
      <w:r>
        <w:rPr>
          <w:sz w:val="24"/>
        </w:rPr>
        <w:t>välistatud kontode või mittearuandekohustuslike finantsasutuste määratlemist viisil, mis läheb vastuollu ühtse aruandluse standardiga;</w:t>
      </w:r>
    </w:p>
    <w:p w:rsidR="00010DDB" w:rsidRPr="00E74148" w:rsidRDefault="00010DDB" w:rsidP="00E74148">
      <w:pPr>
        <w:pStyle w:val="Loenditpp"/>
        <w:widowControl w:val="0"/>
        <w:spacing w:after="100" w:afterAutospacing="1"/>
        <w:rPr>
          <w:sz w:val="24"/>
          <w:szCs w:val="24"/>
        </w:rPr>
      </w:pPr>
      <w:r>
        <w:rPr>
          <w:sz w:val="24"/>
        </w:rPr>
        <w:t>võimetust kehtestada nõudeid ja haldusmenetlusi, millega tagada ühtses aruandluse standardis ette nähtud aruandlus- ja hoolsusmeetmete tõhus rakendamine.</w:t>
      </w:r>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leping on peatunud, siis jääb lepingu alusel enne seda saadud teave konfidentsiaalseks ja sellele jäävad kehtima lepingu artikli 5 tingimused, sealhulgas kõik andmekaitse lisameetmed, mille on ette näinud teavet edastav pädev asutus ja alusdokument.</w:t>
      </w:r>
    </w:p>
    <w:p w:rsidR="00010DDB" w:rsidRPr="00E74148" w:rsidRDefault="00010DDB" w:rsidP="00E74148">
      <w:pPr>
        <w:pStyle w:val="Pealkiri3"/>
        <w:keepNext w:val="0"/>
        <w:widowControl w:val="0"/>
        <w:spacing w:after="100" w:afterAutospacing="1"/>
        <w:rPr>
          <w:sz w:val="24"/>
          <w:szCs w:val="24"/>
        </w:rPr>
      </w:pPr>
      <w:bookmarkStart w:id="118" w:name="_Toc420331822"/>
      <w:bookmarkStart w:id="119" w:name="_Toc420331891"/>
      <w:r>
        <w:rPr>
          <w:sz w:val="24"/>
        </w:rPr>
        <w:t>Lõige 3 – lõpetamine</w:t>
      </w:r>
      <w:bookmarkEnd w:id="118"/>
      <w:bookmarkEnd w:id="119"/>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3 reguleerib lepingu lõpetamist. Pädev asutus võib käesoleva lepingu lõpetada, teatades lõpetamisest teisele pädevale asutusele kirjalikult. Leping lõpeb selle lõpetamise teate kuupäevale järgneva 12-kuulise perioodi lõppemisele järgneva kuu esimesel päeval. Näiteks võib pädev asutus lepingu lõpetada, kui leping on peatatud ja teine pädev asutus ei ole olulist rikkumist mõistliku aja jooksul lahendanud.</w:t>
      </w:r>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Pädeva asutuse lepingu sõlmimise aluseks oleva dokumendi tühistamisel lõpeb automaatselt ka pädeva asutuse leping. Selle tõttu ei ole vaja pädeva asutuse lepingut eraldi lõpetada.</w:t>
      </w:r>
    </w:p>
    <w:p w:rsidR="00010DDB" w:rsidRPr="00E74148" w:rsidRDefault="00F15FDA" w:rsidP="00324DEF">
      <w:pPr>
        <w:pStyle w:val="Num-DocParagraph"/>
        <w:widowControl w:val="0"/>
        <w:numPr>
          <w:ilvl w:val="0"/>
          <w:numId w:val="71"/>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3 selgitatakse, et lepingu lõpetamisel tuleb kogu käesoleva lepingu alusel varem saadud teave hoida konfidentsiaalsena kooskõlas lepingu artikli 5 tingimustega, sealhulgas kõikide andmekaitse lisameetmetega, mille on ette näinud teavet edastav pädev asutus ja alusdokument.</w:t>
      </w:r>
    </w:p>
    <w:p w:rsidR="00000958" w:rsidRDefault="00000958">
      <w:pPr>
        <w:tabs>
          <w:tab w:val="clear" w:pos="850"/>
          <w:tab w:val="clear" w:pos="1191"/>
          <w:tab w:val="clear" w:pos="1531"/>
        </w:tabs>
        <w:spacing w:after="200" w:line="276" w:lineRule="auto"/>
        <w:jc w:val="left"/>
        <w:rPr>
          <w:b/>
          <w:bCs/>
          <w:caps/>
          <w:kern w:val="28"/>
          <w:sz w:val="24"/>
        </w:rPr>
      </w:pPr>
      <w:bookmarkStart w:id="120" w:name="_Toc389723150"/>
      <w:bookmarkStart w:id="121" w:name="_Toc420331823"/>
      <w:bookmarkStart w:id="122" w:name="_Toc420331892"/>
      <w:r>
        <w:rPr>
          <w:sz w:val="24"/>
        </w:rPr>
        <w:br w:type="page"/>
      </w:r>
    </w:p>
    <w:p w:rsidR="00010DDB" w:rsidRPr="00E74148" w:rsidRDefault="00010DDB" w:rsidP="00E74148">
      <w:pPr>
        <w:pStyle w:val="Pealkiri1"/>
        <w:keepNext w:val="0"/>
        <w:widowControl w:val="0"/>
        <w:spacing w:after="100" w:afterAutospacing="1"/>
        <w:rPr>
          <w:sz w:val="24"/>
          <w:szCs w:val="24"/>
        </w:rPr>
      </w:pPr>
      <w:r>
        <w:rPr>
          <w:sz w:val="24"/>
        </w:rPr>
        <w:lastRenderedPageBreak/>
        <w:t>B. Ühtse aruandluse standardi kommentaarid</w:t>
      </w:r>
      <w:bookmarkEnd w:id="120"/>
      <w:bookmarkEnd w:id="121"/>
      <w:bookmarkEnd w:id="122"/>
    </w:p>
    <w:bookmarkStart w:id="123" w:name="_Toc374431897"/>
    <w:bookmarkStart w:id="124" w:name="_Toc374431986"/>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125" w:name="_Toc389723151"/>
      <w:bookmarkStart w:id="126" w:name="_Toc420331824"/>
      <w:bookmarkStart w:id="127" w:name="_Toc420331893"/>
      <w:r w:rsidRPr="00E74148">
        <w:rPr>
          <w:sz w:val="24"/>
          <w:szCs w:val="24"/>
        </w:rPr>
        <w:fldChar w:fldCharType="end"/>
      </w:r>
      <w:r w:rsidR="00010DDB">
        <w:rPr>
          <w:sz w:val="24"/>
        </w:rPr>
        <w:t>Sissejuhatus</w:t>
      </w:r>
      <w:bookmarkEnd w:id="123"/>
      <w:bookmarkEnd w:id="124"/>
      <w:bookmarkEnd w:id="125"/>
      <w:bookmarkEnd w:id="126"/>
      <w:bookmarkEnd w:id="127"/>
    </w:p>
    <w:p w:rsidR="00010DDB" w:rsidRPr="00E74148" w:rsidRDefault="00F15FDA" w:rsidP="00E74148">
      <w:pPr>
        <w:pStyle w:val="Kehatekst"/>
        <w:widowControl w:val="0"/>
        <w:spacing w:after="100" w:afterAutospacing="1"/>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00010DDB">
        <w:rPr>
          <w:sz w:val="24"/>
        </w:rPr>
        <w:t>CRS sisaldab finantskontodealase teabe automaatse vahetuse aluseks olevaid aruandlus- ja hoolsusmeetmete standardeid. CRS-i rakendav jurisdiktsioon peab kehtestama nõuded, mille kohaselt peavad finantsasutused esitama aruandeid I osas sätestatud mahus ja täitma CRS-i II kuni VII osas sätestatud hoolsusmeetmeid.</w:t>
      </w:r>
    </w:p>
    <w:p w:rsidR="00010DDB" w:rsidRPr="00E74148" w:rsidRDefault="00010DDB" w:rsidP="00E74148">
      <w:pPr>
        <w:pStyle w:val="Kehatekst"/>
        <w:widowControl w:val="0"/>
        <w:spacing w:after="100" w:afterAutospacing="1"/>
        <w:rPr>
          <w:sz w:val="24"/>
          <w:szCs w:val="24"/>
        </w:rPr>
      </w:pPr>
      <w:r>
        <w:rPr>
          <w:sz w:val="24"/>
        </w:rPr>
        <w:t xml:space="preserve">CRS-is kasutatavad </w:t>
      </w:r>
      <w:r>
        <w:rPr>
          <w:i/>
          <w:sz w:val="24"/>
        </w:rPr>
        <w:t>(inglisekeelses tekstis suure algustähega kirjutatud)</w:t>
      </w:r>
      <w:r>
        <w:rPr>
          <w:sz w:val="24"/>
        </w:rPr>
        <w:t xml:space="preserve"> mõisted on määratletud VIII osas. CRS-i rakendav jurisdiktsioon võib sätestada, et avaldatava kontoga seotud väljamaksete summa ja liik tuleb kindlaks määrata kooskõlas teavet vahetava jurisdiktsiooni maksuseaduste põhimõtetega.</w:t>
      </w:r>
    </w:p>
    <w:p w:rsidR="00010DDB" w:rsidRPr="00E74148" w:rsidRDefault="00010DDB" w:rsidP="00E74148">
      <w:pPr>
        <w:pStyle w:val="Kehatekst"/>
        <w:widowControl w:val="0"/>
        <w:spacing w:after="100" w:afterAutospacing="1"/>
        <w:rPr>
          <w:sz w:val="24"/>
          <w:szCs w:val="24"/>
        </w:rPr>
      </w:pPr>
      <w:r>
        <w:rPr>
          <w:sz w:val="24"/>
        </w:rPr>
        <w:t>CRS-i IX osa sisaldab nõudeid ja haldusmenetlusi, mille olemasolu jurisdiktsioonilt eeldatakse, et tagada CRS-i tõhus rakendamine ja täitmine.</w:t>
      </w:r>
    </w:p>
    <w:p w:rsidR="00010DDB" w:rsidRPr="00E74148" w:rsidRDefault="00010DDB" w:rsidP="00E74148">
      <w:pPr>
        <w:pStyle w:val="Pealkiri1"/>
        <w:keepNext w:val="0"/>
        <w:widowControl w:val="0"/>
        <w:spacing w:after="100" w:afterAutospacing="1"/>
        <w:rPr>
          <w:sz w:val="24"/>
          <w:szCs w:val="24"/>
        </w:rPr>
      </w:pPr>
      <w:bookmarkStart w:id="128" w:name="_Toc389723152"/>
      <w:bookmarkStart w:id="129" w:name="_Toc374431987"/>
      <w:bookmarkStart w:id="130" w:name="_Toc374431898"/>
      <w:bookmarkStart w:id="131" w:name="_Toc420331825"/>
      <w:bookmarkStart w:id="132" w:name="_Toc420331894"/>
      <w:r>
        <w:rPr>
          <w:sz w:val="24"/>
        </w:rPr>
        <w:t>Aruandluse üldnõudeid käsitleva I osa kommentaarid</w:t>
      </w:r>
      <w:bookmarkEnd w:id="128"/>
      <w:bookmarkEnd w:id="129"/>
      <w:bookmarkEnd w:id="130"/>
      <w:bookmarkEnd w:id="131"/>
      <w:bookmarkEnd w:id="132"/>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I osas on sätestatud aruandekohustuslikele finantsasutustele kohalduvad aruandluse üldnõuded. Lõigetes A ja B on kindlaks määratud üldjuhul vahetatav teave ning lõigetes C kuni F on sätestatud rida erandeid TIN-i, sünniaja ja -koha ning brutotulu kohta. Pädeva asutuse mudellepingu artikli 2 lõikest 1 tuleneb selgelt, et vahetada tuleb teavet, mis on ühtses aruandluse standardis sätestatud aruandluse ja hoolsusmeetmete nõuete alusel nõutud, arvestades I osa lõigetes C kuni F sätestatud erandeid.</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Aruandekohustuslikud finantsasutused teavitavad tihti kontoomanikke (näiteks tingimuste muutmise kaudu), et kui nende konto on avaldatav konto, edastatakse nende kontoga seotud teavet ja seda võidakse ka vahetada teiste jurisdiktsioonidega. Mõnes jurisdiktsioonis võib aruandekohustuslikel finantsasutustel olla selline kohustus oma jurisdiktsiooni privaatsus- ja teabe avaldamise nõuete alusel. Selliseid nõudeid peavad aruandekohustuslikud finantsasutused täitma (näiteks andma kontoomanikule, kui ta on seda taotlenud, edastatud teabe koopia).</w:t>
      </w:r>
    </w:p>
    <w:p w:rsidR="00010DDB" w:rsidRPr="00E74148" w:rsidRDefault="00010DDB" w:rsidP="00E74148">
      <w:pPr>
        <w:pStyle w:val="Pealkiri3"/>
        <w:keepNext w:val="0"/>
        <w:widowControl w:val="0"/>
        <w:spacing w:after="100" w:afterAutospacing="1"/>
        <w:rPr>
          <w:sz w:val="24"/>
          <w:szCs w:val="24"/>
        </w:rPr>
      </w:pPr>
      <w:bookmarkStart w:id="133" w:name="_Toc420331826"/>
      <w:bookmarkStart w:id="134" w:name="_Toc420331895"/>
      <w:r>
        <w:rPr>
          <w:sz w:val="24"/>
        </w:rPr>
        <w:t>Lõige A – edastatav teave</w:t>
      </w:r>
      <w:bookmarkEnd w:id="133"/>
      <w:bookmarkEnd w:id="134"/>
    </w:p>
    <w:p w:rsidR="00010DDB" w:rsidRPr="00E74148" w:rsidRDefault="00F15FDA" w:rsidP="00324DEF">
      <w:pPr>
        <w:pStyle w:val="Num-DocParagraph"/>
        <w:widowControl w:val="0"/>
        <w:numPr>
          <w:ilvl w:val="0"/>
          <w:numId w:val="6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kohaselt peab iga aruandekohustuslik finantsasutus edastama iga selles finantsasutuses oleva avaldatava konto kohta järgmist teavet:</w:t>
      </w:r>
    </w:p>
    <w:p w:rsidR="00010DDB" w:rsidRPr="00E74148" w:rsidRDefault="00010DDB" w:rsidP="005C33A2">
      <w:pPr>
        <w:pStyle w:val="Loendinumber"/>
        <w:widowControl w:val="0"/>
        <w:numPr>
          <w:ilvl w:val="0"/>
          <w:numId w:val="10"/>
        </w:numPr>
        <w:spacing w:after="100" w:afterAutospacing="1"/>
        <w:rPr>
          <w:sz w:val="24"/>
          <w:szCs w:val="24"/>
        </w:rPr>
      </w:pPr>
      <w:r>
        <w:rPr>
          <w:sz w:val="24"/>
        </w:rPr>
        <w:t>füüsilisest isikust kontoomaniku ja avaldatava isiku nimi, aadress, residendi</w:t>
      </w:r>
      <w:r w:rsidR="00394DD4">
        <w:rPr>
          <w:sz w:val="24"/>
        </w:rPr>
        <w:t xml:space="preserve"> </w:t>
      </w:r>
      <w:r>
        <w:rPr>
          <w:sz w:val="24"/>
        </w:rPr>
        <w:t>jurisdiktsioon(id), TIN(-id), sünniaeg ja -koht;</w:t>
      </w:r>
    </w:p>
    <w:p w:rsidR="00010DDB" w:rsidRPr="00914492" w:rsidRDefault="00010DDB" w:rsidP="005C33A2">
      <w:pPr>
        <w:pStyle w:val="Loendinumber"/>
        <w:widowControl w:val="0"/>
        <w:numPr>
          <w:ilvl w:val="0"/>
          <w:numId w:val="10"/>
        </w:numPr>
        <w:spacing w:after="100" w:afterAutospacing="1"/>
        <w:rPr>
          <w:spacing w:val="-4"/>
          <w:sz w:val="24"/>
          <w:szCs w:val="24"/>
        </w:rPr>
      </w:pPr>
      <w:r w:rsidRPr="00914492">
        <w:rPr>
          <w:spacing w:val="-4"/>
          <w:sz w:val="24"/>
        </w:rPr>
        <w:t>ettevõtte, mis on kontoomanik ja avaldatav isik, nimi, aadress, residendi</w:t>
      </w:r>
      <w:r w:rsidR="00394DD4">
        <w:rPr>
          <w:spacing w:val="-4"/>
          <w:sz w:val="24"/>
        </w:rPr>
        <w:t xml:space="preserve"> </w:t>
      </w:r>
      <w:r w:rsidRPr="00914492">
        <w:rPr>
          <w:spacing w:val="-4"/>
          <w:sz w:val="24"/>
        </w:rPr>
        <w:t>jurisdiktsioon(id) ja TIN(-id);</w:t>
      </w:r>
    </w:p>
    <w:p w:rsidR="00010DDB" w:rsidRPr="00E74148" w:rsidRDefault="00010DDB" w:rsidP="005C33A2">
      <w:pPr>
        <w:pStyle w:val="Loendinumber"/>
        <w:widowControl w:val="0"/>
        <w:numPr>
          <w:ilvl w:val="0"/>
          <w:numId w:val="10"/>
        </w:numPr>
        <w:spacing w:after="100" w:afterAutospacing="1"/>
        <w:rPr>
          <w:sz w:val="24"/>
          <w:szCs w:val="24"/>
        </w:rPr>
      </w:pPr>
      <w:r>
        <w:rPr>
          <w:sz w:val="24"/>
        </w:rPr>
        <w:t xml:space="preserve">ettevõtte puhul, mis on kontoomanik ja mida loetakse ettevõtteks, millel on üks või </w:t>
      </w:r>
      <w:r>
        <w:rPr>
          <w:sz w:val="24"/>
        </w:rPr>
        <w:lastRenderedPageBreak/>
        <w:t>mitu kontrollivat isikut, kes on avaldatavad isikud,</w:t>
      </w:r>
    </w:p>
    <w:p w:rsidR="00010DDB" w:rsidRPr="00E74148" w:rsidRDefault="00010DDB" w:rsidP="005C33A2">
      <w:pPr>
        <w:pStyle w:val="Loendinumber"/>
        <w:widowControl w:val="0"/>
        <w:numPr>
          <w:ilvl w:val="1"/>
          <w:numId w:val="10"/>
        </w:numPr>
        <w:spacing w:after="100" w:afterAutospacing="1"/>
        <w:rPr>
          <w:sz w:val="24"/>
          <w:szCs w:val="24"/>
        </w:rPr>
      </w:pPr>
      <w:r>
        <w:rPr>
          <w:sz w:val="24"/>
        </w:rPr>
        <w:t>ettevõtte nimi, aadress, residendi</w:t>
      </w:r>
      <w:r w:rsidR="00394DD4">
        <w:rPr>
          <w:sz w:val="24"/>
        </w:rPr>
        <w:t xml:space="preserve"> </w:t>
      </w:r>
      <w:r>
        <w:rPr>
          <w:sz w:val="24"/>
        </w:rPr>
        <w:t>jurisdiktsioon(id) ja TIN(-id) ning</w:t>
      </w:r>
    </w:p>
    <w:p w:rsidR="00010DDB" w:rsidRPr="00E74148" w:rsidRDefault="00010DDB" w:rsidP="005C33A2">
      <w:pPr>
        <w:pStyle w:val="Loendinumber"/>
        <w:widowControl w:val="0"/>
        <w:numPr>
          <w:ilvl w:val="1"/>
          <w:numId w:val="10"/>
        </w:numPr>
        <w:spacing w:after="100" w:afterAutospacing="1"/>
        <w:rPr>
          <w:sz w:val="24"/>
          <w:szCs w:val="24"/>
        </w:rPr>
      </w:pPr>
      <w:r>
        <w:rPr>
          <w:sz w:val="24"/>
        </w:rPr>
        <w:t>iga kontrolliva isiku, kes on avaldatav isik, nimi, aadress, residendi</w:t>
      </w:r>
      <w:r w:rsidR="00394DD4">
        <w:rPr>
          <w:sz w:val="24"/>
        </w:rPr>
        <w:t xml:space="preserve"> </w:t>
      </w:r>
      <w:r>
        <w:rPr>
          <w:sz w:val="24"/>
        </w:rPr>
        <w:t>jurisdiktsioon(id), TIN(-id), sünniaeg ja -koht;</w:t>
      </w:r>
    </w:p>
    <w:p w:rsidR="00010DDB" w:rsidRPr="00E74148" w:rsidRDefault="00010DDB" w:rsidP="005C33A2">
      <w:pPr>
        <w:pStyle w:val="Loendinumber"/>
        <w:widowControl w:val="0"/>
        <w:numPr>
          <w:ilvl w:val="0"/>
          <w:numId w:val="10"/>
        </w:numPr>
        <w:spacing w:after="100" w:afterAutospacing="1"/>
        <w:rPr>
          <w:sz w:val="24"/>
          <w:szCs w:val="24"/>
        </w:rPr>
      </w:pPr>
      <w:r>
        <w:rPr>
          <w:sz w:val="24"/>
        </w:rPr>
        <w:t>kontonumber (või kontonumbri puudumisel selle toimiv ekvivalent);</w:t>
      </w:r>
    </w:p>
    <w:p w:rsidR="00010DDB" w:rsidRPr="00E74148" w:rsidRDefault="00010DDB" w:rsidP="005C33A2">
      <w:pPr>
        <w:pStyle w:val="Loendinumber"/>
        <w:widowControl w:val="0"/>
        <w:numPr>
          <w:ilvl w:val="0"/>
          <w:numId w:val="10"/>
        </w:numPr>
        <w:spacing w:after="100" w:afterAutospacing="1"/>
        <w:rPr>
          <w:sz w:val="24"/>
          <w:szCs w:val="24"/>
        </w:rPr>
      </w:pPr>
      <w:r>
        <w:rPr>
          <w:sz w:val="24"/>
        </w:rPr>
        <w:t>aruandekohustusliku finantsasutuse nimi ja identifitseerimisnumber (selle olemasolul); ja</w:t>
      </w:r>
    </w:p>
    <w:p w:rsidR="00010DDB" w:rsidRPr="00E74148" w:rsidRDefault="00010DDB" w:rsidP="005C33A2">
      <w:pPr>
        <w:pStyle w:val="Loendinumber"/>
        <w:widowControl w:val="0"/>
        <w:numPr>
          <w:ilvl w:val="0"/>
          <w:numId w:val="10"/>
        </w:numPr>
        <w:spacing w:after="100" w:afterAutospacing="1"/>
        <w:rPr>
          <w:sz w:val="24"/>
          <w:szCs w:val="24"/>
        </w:rPr>
      </w:pPr>
      <w:r>
        <w:rPr>
          <w:sz w:val="24"/>
        </w:rPr>
        <w:t>kontojääk või väärtus (sealhulgas rahalise väärtusega kindlustuslepingu või annuiteedilepingu puhul rahaline väärtus või tagasiostuväärtus) asjakohase kalendriaasta või muu asjakohase aruandlusperioodi lõpu seisuga või kui konto suleti kalendriaasta või perioodi jooksul, siis sulgemise seisuga.</w:t>
      </w:r>
    </w:p>
    <w:p w:rsidR="00010DDB" w:rsidRPr="00E74148" w:rsidRDefault="00F15FDA" w:rsidP="00324DEF">
      <w:pPr>
        <w:pStyle w:val="Num-DocParagraph"/>
        <w:widowControl w:val="0"/>
        <w:numPr>
          <w:ilvl w:val="0"/>
          <w:numId w:val="6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Samuti tuleb edastada järgmist teavet:</w:t>
      </w:r>
    </w:p>
    <w:p w:rsidR="00010DDB" w:rsidRPr="00E74148" w:rsidRDefault="00010DDB" w:rsidP="005C33A2">
      <w:pPr>
        <w:pStyle w:val="Loendinumber"/>
        <w:widowControl w:val="0"/>
        <w:numPr>
          <w:ilvl w:val="0"/>
          <w:numId w:val="11"/>
        </w:numPr>
        <w:spacing w:after="100" w:afterAutospacing="1"/>
        <w:rPr>
          <w:sz w:val="24"/>
          <w:szCs w:val="24"/>
        </w:rPr>
      </w:pPr>
      <w:r>
        <w:rPr>
          <w:sz w:val="24"/>
        </w:rPr>
        <w:t>hoidmiskonto puhul</w:t>
      </w:r>
    </w:p>
    <w:p w:rsidR="00010DDB" w:rsidRPr="00E74148" w:rsidRDefault="00010DDB" w:rsidP="005C33A2">
      <w:pPr>
        <w:pStyle w:val="Loendinumber"/>
        <w:widowControl w:val="0"/>
        <w:numPr>
          <w:ilvl w:val="1"/>
          <w:numId w:val="11"/>
        </w:numPr>
        <w:spacing w:after="100" w:afterAutospacing="1"/>
        <w:rPr>
          <w:sz w:val="24"/>
          <w:szCs w:val="24"/>
        </w:rPr>
      </w:pPr>
      <w:r>
        <w:rPr>
          <w:sz w:val="24"/>
        </w:rPr>
        <w:t>intresside brutosumma, mis on kontole (või seoses kontoga) makstud või krediteeritud kalendriaasta või muu asjakohase aruandlusperioodi jooksul;</w:t>
      </w:r>
    </w:p>
    <w:p w:rsidR="00010DDB" w:rsidRPr="00E74148" w:rsidRDefault="00010DDB" w:rsidP="005C33A2">
      <w:pPr>
        <w:pStyle w:val="Loendinumber"/>
        <w:widowControl w:val="0"/>
        <w:numPr>
          <w:ilvl w:val="1"/>
          <w:numId w:val="11"/>
        </w:numPr>
        <w:spacing w:after="100" w:afterAutospacing="1"/>
        <w:rPr>
          <w:sz w:val="24"/>
          <w:szCs w:val="24"/>
        </w:rPr>
      </w:pPr>
      <w:r>
        <w:rPr>
          <w:sz w:val="24"/>
        </w:rPr>
        <w:t>dividendide brutosumma, mis on kontole (või seoses kontoga) makstud või krediteeritud kalendriaasta või muu asjakohase aruandlusperioodi jooksul;</w:t>
      </w:r>
    </w:p>
    <w:p w:rsidR="00010DDB" w:rsidRPr="00E74148" w:rsidRDefault="00010DDB" w:rsidP="005C33A2">
      <w:pPr>
        <w:pStyle w:val="Loendinumber"/>
        <w:widowControl w:val="0"/>
        <w:numPr>
          <w:ilvl w:val="1"/>
          <w:numId w:val="11"/>
        </w:numPr>
        <w:spacing w:after="100" w:afterAutospacing="1"/>
        <w:rPr>
          <w:sz w:val="24"/>
          <w:szCs w:val="24"/>
        </w:rPr>
      </w:pPr>
      <w:r>
        <w:rPr>
          <w:sz w:val="24"/>
        </w:rPr>
        <w:t>muu kontol olevate varadega seotud sissetulekute brutosumma, mis on kontole (või seoses kontoga) makstud või krediteeritud kalendriaasta või muu asjakohase aruandlusperioodi jooksul; ja</w:t>
      </w:r>
    </w:p>
    <w:p w:rsidR="00010DDB" w:rsidRPr="00E74148" w:rsidRDefault="00010DDB" w:rsidP="005C33A2">
      <w:pPr>
        <w:pStyle w:val="Loendinumber"/>
        <w:widowControl w:val="0"/>
        <w:numPr>
          <w:ilvl w:val="1"/>
          <w:numId w:val="11"/>
        </w:numPr>
        <w:spacing w:after="100" w:afterAutospacing="1"/>
        <w:rPr>
          <w:sz w:val="24"/>
          <w:szCs w:val="24"/>
        </w:rPr>
      </w:pPr>
      <w:r>
        <w:rPr>
          <w:sz w:val="24"/>
        </w:rPr>
        <w:t>finantsvara müügist või lunastamisest saadud brutotulu, mis on makstud või krediteeritud kontole kalendriaasta või muu asjakohase aruandlusperioodi jooksul ja mille puhul aruandekohustuslik finantsasutus tegutses hoidmisühingu, maakleri, esindajakonto omanikuna või muul viisil kontoomaniku käsundi alusel;</w:t>
      </w:r>
    </w:p>
    <w:p w:rsidR="00010DDB" w:rsidRPr="00E74148" w:rsidRDefault="00010DDB" w:rsidP="005C33A2">
      <w:pPr>
        <w:pStyle w:val="Loendinumber"/>
        <w:widowControl w:val="0"/>
        <w:numPr>
          <w:ilvl w:val="0"/>
          <w:numId w:val="11"/>
        </w:numPr>
        <w:spacing w:after="100" w:afterAutospacing="1"/>
        <w:rPr>
          <w:sz w:val="24"/>
          <w:szCs w:val="24"/>
        </w:rPr>
      </w:pPr>
      <w:r>
        <w:rPr>
          <w:sz w:val="24"/>
        </w:rPr>
        <w:t>hoiusekonto puhul kalendriaasta või muu asjakohase aruandlusperioodi jooksul kontole makstud või krediteeritud intresside brutosumma;</w:t>
      </w:r>
    </w:p>
    <w:p w:rsidR="00010DDB" w:rsidRPr="00E74148" w:rsidRDefault="00010DDB" w:rsidP="005C33A2">
      <w:pPr>
        <w:pStyle w:val="Loendinumber"/>
        <w:widowControl w:val="0"/>
        <w:numPr>
          <w:ilvl w:val="0"/>
          <w:numId w:val="11"/>
        </w:numPr>
        <w:spacing w:after="100" w:afterAutospacing="1"/>
        <w:rPr>
          <w:sz w:val="24"/>
          <w:szCs w:val="24"/>
        </w:rPr>
      </w:pPr>
      <w:r>
        <w:rPr>
          <w:sz w:val="24"/>
        </w:rPr>
        <w:t>konto, mis ei ole hoidmiskonto ega hoiusekonto, puhul brutosumma, mis on makstud või krediteeritud kontoomanikule seoses kontoga kalendriaasta või muu asjakohase aruandlusperioodi jooksul, mille tõttu on aruandekohustuslik finantsasutus kohustatud isik või võlgnik, sealhulgas kontoomanikule makstud lunastusmaksete kogusumma kalendriaasta või muu asjakohase aruandlusperioodi jooksul.</w:t>
      </w:r>
    </w:p>
    <w:p w:rsidR="00010DDB" w:rsidRPr="00E74148" w:rsidRDefault="00010DDB" w:rsidP="00E74148">
      <w:pPr>
        <w:pStyle w:val="Pealkiri4"/>
        <w:keepNext w:val="0"/>
        <w:widowControl w:val="0"/>
        <w:spacing w:after="100" w:afterAutospacing="1"/>
        <w:rPr>
          <w:sz w:val="24"/>
          <w:szCs w:val="24"/>
        </w:rPr>
      </w:pPr>
      <w:r>
        <w:rPr>
          <w:sz w:val="24"/>
        </w:rPr>
        <w:t>Lõike A punkt 1 – aadress</w:t>
      </w:r>
    </w:p>
    <w:p w:rsidR="00010DDB" w:rsidRPr="00E74148" w:rsidRDefault="00F15FDA" w:rsidP="00324DEF">
      <w:pPr>
        <w:pStyle w:val="Num-DocParagraph"/>
        <w:widowControl w:val="0"/>
        <w:numPr>
          <w:ilvl w:val="0"/>
          <w:numId w:val="6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Kontoga seotud avaldatav aadress on aruandekohustusliku finantsasutuse andmebaasis olev kontoomaniku aadress kooskõlas II kuni VII osas sätestatud hoolsusmeetmetega. Selle tõttu on füüsilise isiku, kes on avaldatav isik, konto puhul avaldatavaks aadressiks isiku elukoha aadress (vt III osa kommentaaride punkte 8 ja 22); kui aruandekohustusliku finantsasutuse andmebaasis ei ole sellist aadressi, edastab ta teadaoleva postiaadressi. Kui kontoomanik on ettevõte, mida loetakse ettevõtteks, millel on üks või mitu kontrollivat isikut, kes on avaldatavad isikud, on avaldatav aadress ettevõtte aadress ja ettevõtet kontrolliva iga isiku, kes on avaldatav isik, aadress.</w:t>
      </w:r>
    </w:p>
    <w:p w:rsidR="00010DDB" w:rsidRPr="00E74148" w:rsidRDefault="00010DDB" w:rsidP="00E74148">
      <w:pPr>
        <w:pStyle w:val="Pealkiri4"/>
        <w:keepNext w:val="0"/>
        <w:widowControl w:val="0"/>
        <w:spacing w:after="100" w:afterAutospacing="1"/>
        <w:rPr>
          <w:sz w:val="24"/>
          <w:szCs w:val="24"/>
        </w:rPr>
      </w:pPr>
      <w:r>
        <w:rPr>
          <w:sz w:val="24"/>
        </w:rPr>
        <w:t>Lõike A punkt 1 – residendi</w:t>
      </w:r>
      <w:r w:rsidR="00394DD4">
        <w:rPr>
          <w:sz w:val="24"/>
        </w:rPr>
        <w:t xml:space="preserve"> </w:t>
      </w:r>
      <w:r>
        <w:rPr>
          <w:sz w:val="24"/>
        </w:rPr>
        <w:t>jurisdiktsioon(id)</w:t>
      </w:r>
    </w:p>
    <w:p w:rsidR="00010DDB" w:rsidRPr="00E74148" w:rsidRDefault="00F15FDA" w:rsidP="00324DEF">
      <w:pPr>
        <w:pStyle w:val="Num-DocParagraph"/>
        <w:widowControl w:val="0"/>
        <w:numPr>
          <w:ilvl w:val="0"/>
          <w:numId w:val="6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Konto kohta avaldatav residendijurisdiktsioon on residendijurisdiktsioon, mille aruandekohustuslik finantsasutus on avaldatava isiku kohta kindlaks teinud asjaomase kalendriaasta või muu asjakohase aruandlusperioodi suhtes kooskõlas II kuni VII osas </w:t>
      </w:r>
      <w:r w:rsidR="00010DDB">
        <w:rPr>
          <w:sz w:val="24"/>
        </w:rPr>
        <w:lastRenderedPageBreak/>
        <w:t>sätestatud hoolsusmeetmetega. Kui avaldatava isiku kohta on kindlaks tehtud, et tal on mitu residendijurisdiktsiooni, siis on avaldatavad residendijurisdiktsioonid kõik residendijurisdiktsioonid, mille aruandekohustuslik finantsasutus on avaldatava isiku kohta kindlaks teinud asjaomase kalendriaasta või muu asjakohase aruandlusperioodi suhtes. II kuni VII osas sätestatud hoolsusmeetmete alusel kindlaks tehtud residendijurisdiktsioonid ei piira aruandekohustusliku finantsasutuse õigust määrata muudel maksusid puudutavatel eesmärkidel kindlaks muu residentsus.</w:t>
      </w:r>
    </w:p>
    <w:p w:rsidR="00010DDB" w:rsidRPr="00E74148" w:rsidRDefault="00010DDB" w:rsidP="00E74148">
      <w:pPr>
        <w:pStyle w:val="Pealkiri4"/>
        <w:keepNext w:val="0"/>
        <w:widowControl w:val="0"/>
        <w:spacing w:after="100" w:afterAutospacing="1"/>
        <w:rPr>
          <w:sz w:val="24"/>
          <w:szCs w:val="24"/>
        </w:rPr>
      </w:pPr>
      <w:r>
        <w:rPr>
          <w:sz w:val="24"/>
        </w:rPr>
        <w:t>Lõike A punkt 1 – TIN</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 kohta avaldatav TIN on TIN, mille on kontoomanikule määranud tema residendijurisdiktsioon (s.t mitte päritolujurisdiktsioon). Kui avaldatava isiku kohta on kindlaks tehtud, et tal on mitu residendijurisdiktsiooni, siis on avaldatav TIN kontoomaniku TIN iga avaldatava jurisdiktsiooni kohta (millele kohaldatakse lõikeid C ja D). Nagu on VIII osa lõike E punktis 5 määratletud, hõlmab TIN-i mõiste maksukohustuslase identifitseerimisnumbri puudumisel selle toimivat ekvivalenti (vt VIII osa kommentaaride punkti 148).</w:t>
      </w:r>
    </w:p>
    <w:p w:rsidR="00010DDB" w:rsidRPr="00E74148" w:rsidRDefault="00010DDB" w:rsidP="00E74148">
      <w:pPr>
        <w:pStyle w:val="Pealkiri4"/>
        <w:keepNext w:val="0"/>
        <w:widowControl w:val="0"/>
        <w:spacing w:after="100" w:afterAutospacing="1"/>
        <w:rPr>
          <w:sz w:val="24"/>
          <w:szCs w:val="24"/>
        </w:rPr>
      </w:pPr>
      <w:r>
        <w:rPr>
          <w:sz w:val="24"/>
        </w:rPr>
        <w:t>Lõike A punkt 2 – kontonumber</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 kohta avaldatav kontonumber on identifitseerimisnumber, mille on aruandekohustuslik finantsasutus määranud muul eesmärgil kui lõike A punktis 1 sätestatud aruandlusnõuete täitmiseks, või kui sellist numbrit ei ole kontole määratud, siis selle toimiv ekvivalent (s.t unikaalne seerianumber või muu number, mille aruandekohustuslik finantsasutus määrab finantskontole ja mille alusel eristatakse kontot muudest asutuses avatud kontodest). Kontonumbri toimivaks ekvivalendiks peetakse üldjuhul lepingu või poliisi numbrit.</w:t>
      </w:r>
    </w:p>
    <w:p w:rsidR="00010DDB" w:rsidRPr="00E74148" w:rsidRDefault="00010DDB" w:rsidP="00E74148">
      <w:pPr>
        <w:pStyle w:val="Pealkiri4"/>
        <w:keepNext w:val="0"/>
        <w:widowControl w:val="0"/>
        <w:spacing w:after="100" w:afterAutospacing="1"/>
        <w:rPr>
          <w:sz w:val="24"/>
          <w:szCs w:val="24"/>
        </w:rPr>
      </w:pPr>
      <w:r>
        <w:rPr>
          <w:sz w:val="24"/>
        </w:rPr>
        <w:t>Lõike A punkt 3 – identifitseerimisnumber</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peab avaldama oma nime ja identifitseerimisnumbri (selle olemasolul). Aruandekohustuslikku finantsasutust identifitseeriva teabe eesmärk on võimaldada osaleval jurisdiktsioonil kerge vaevaga tuvastada avaldatud ja seejärel vahetatud teabe allikat, et võtta näiteks meetmeid seoses veaga, mille tõttu võidi esitada ebatäpset või poolikut teavet. Aruandekohustusliku finantsasutuse identifitseerimisnumber on identifitseerimise eesmärgil aruandekohustuslikule finantsasutusele määratud number. Üldjuhul määrab aruandekohustuslikule finantsasutusele sellise numbri tema residendi- või asukoha jurisdiktsioon, kuid seda võib määrata ka ülemaailmselt. Identifitseerimisnumber on näiteks TIN, ettevõtte/äriühingu registrikood/registreerimisnumber, juriidilise isiku ülemaailmne tunnus (LEI)</w:t>
      </w:r>
      <w:r w:rsidR="00010DDB">
        <w:rPr>
          <w:rStyle w:val="Allmrkuseviide"/>
          <w:sz w:val="24"/>
        </w:rPr>
        <w:footnoteReference w:id="6"/>
      </w:r>
      <w:r w:rsidR="00010DDB">
        <w:rPr>
          <w:sz w:val="24"/>
        </w:rPr>
        <w:t>, või vahendaja ülemaailmne identifitseerimisnumber (GIIN)</w:t>
      </w:r>
      <w:r w:rsidR="00010DDB">
        <w:rPr>
          <w:rStyle w:val="Allmrkuseviide"/>
          <w:sz w:val="24"/>
        </w:rPr>
        <w:footnoteReference w:id="7"/>
      </w:r>
      <w:r w:rsidR="00010DDB">
        <w:rPr>
          <w:sz w:val="24"/>
        </w:rPr>
        <w:t>. Osalevatelt jurisdiktsioonidelt eeldatakse, et nad annavad oma aruandekohustuslikele finantsasutustele juhiseid avaldatavate identifitseerimisnumbrite kohta. Kui aruandekohustuslikule finantsasutusele ei ole sellist numbrit määratud, siis tuleb avaldada vaid aruandekohustusliku finantsasutuse nimi ja aadress.</w:t>
      </w:r>
    </w:p>
    <w:p w:rsidR="00010DDB" w:rsidRPr="00E74148" w:rsidRDefault="00010DDB" w:rsidP="00E74148">
      <w:pPr>
        <w:pStyle w:val="Pealkiri4"/>
        <w:keepNext w:val="0"/>
        <w:widowControl w:val="0"/>
        <w:spacing w:after="100" w:afterAutospacing="1"/>
        <w:rPr>
          <w:sz w:val="24"/>
          <w:szCs w:val="24"/>
        </w:rPr>
      </w:pPr>
      <w:r>
        <w:rPr>
          <w:sz w:val="24"/>
        </w:rPr>
        <w:t>Lõike A punkt 4 – kontojääk või väärtus</w:t>
      </w:r>
    </w:p>
    <w:p w:rsidR="00010DDB" w:rsidRPr="00914492" w:rsidRDefault="00F15FDA" w:rsidP="00324DEF">
      <w:pPr>
        <w:pStyle w:val="Num-DocParagraph"/>
        <w:widowControl w:val="0"/>
        <w:numPr>
          <w:ilvl w:val="0"/>
          <w:numId w:val="65"/>
        </w:numPr>
        <w:tabs>
          <w:tab w:val="clear" w:pos="850"/>
          <w:tab w:val="left" w:pos="567"/>
        </w:tabs>
        <w:spacing w:before="240" w:after="100" w:afterAutospacing="1"/>
        <w:ind w:left="0" w:firstLine="0"/>
        <w:rPr>
          <w:spacing w:val="-4"/>
          <w:sz w:val="24"/>
          <w:szCs w:val="24"/>
        </w:rPr>
      </w:pPr>
      <w:r w:rsidRPr="00914492">
        <w:rPr>
          <w:spacing w:val="-4"/>
          <w:sz w:val="24"/>
          <w:szCs w:val="24"/>
        </w:rPr>
        <w:lastRenderedPageBreak/>
        <w:fldChar w:fldCharType="begin"/>
      </w:r>
      <w:r w:rsidR="00010DDB" w:rsidRPr="00914492">
        <w:rPr>
          <w:spacing w:val="-4"/>
          <w:sz w:val="24"/>
          <w:szCs w:val="24"/>
        </w:rPr>
        <w:instrText>MACROBUTTON NUMBERING</w:instrText>
      </w:r>
      <w:r w:rsidRPr="00914492">
        <w:rPr>
          <w:spacing w:val="-4"/>
          <w:sz w:val="24"/>
          <w:szCs w:val="24"/>
        </w:rPr>
        <w:fldChar w:fldCharType="end"/>
      </w:r>
      <w:r w:rsidR="00010DDB" w:rsidRPr="00914492">
        <w:rPr>
          <w:spacing w:val="-4"/>
          <w:sz w:val="24"/>
        </w:rPr>
        <w:t>Aruandekohustuslik finantsasutus peab edastama kontojäägi või väärtuse kalendriaasta või muu asjakohase aruandlusperioodi lõpu seisuga või kui konto suleti selle aasta või perioodi jooksul, siis sulgemise seisuga (vt punkti 14 allpool). Negatiivse jäägi või väärtusega konto tuleb avaldada kui konto, mille jääk või väärtus võrdub nulliga. Kui konto on rahalise väärtusega kindlustusleping või annuiteedileping, siis peab aruandekohustuslik finantsasutus avaldama selle rahalise väärtuse või tagasiostuväärtuse.</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Mõnes jurisdiktsioonis aga juba nõutakse, et finantsasutused avaldaksid konto keskmise jäägi või väärtuse kalendriaasta või muu asjakohase aruandlusperioodi jooksul. Nendes jurisdiktsioonides võib ka edaspidi nõuda, et nimetatud teavet avaldataks kontojäägi või väärtuse kalendriaasta või muu asjakohase aruandlusperioodi lõpu seisuga avaldamise asemel, mille jaoks tuleb lõike A punkt 4 sõnastada järgmiselt:</w:t>
      </w:r>
    </w:p>
    <w:p w:rsidR="00010DDB" w:rsidRPr="00E74148" w:rsidRDefault="00010DDB" w:rsidP="00E74148">
      <w:pPr>
        <w:pStyle w:val="Kehatekst"/>
        <w:widowControl w:val="0"/>
        <w:spacing w:after="100" w:afterAutospacing="1"/>
        <w:rPr>
          <w:i/>
          <w:sz w:val="24"/>
          <w:szCs w:val="24"/>
        </w:rPr>
      </w:pPr>
      <w:r>
        <w:rPr>
          <w:i/>
          <w:sz w:val="24"/>
        </w:rPr>
        <w:t>4. [suurim] keskmine [igakuine] kontojääk või väärtus (sealhulgas rahalise väärtusega kindlustuslepingu või annuiteedilepingu puhul rahaline väärtus või tagasiostuväärtus) asjakohase kalendriaasta või muu asjakohase aruandlusperioodi jooksul või kui konto suleti kalendriaasta või perioodi jooksul, siis sulgemise seisuga.</w:t>
      </w:r>
    </w:p>
    <w:p w:rsidR="00010DDB" w:rsidRPr="00E74148" w:rsidRDefault="00010DDB" w:rsidP="00E74148">
      <w:pPr>
        <w:pStyle w:val="Kehatekst"/>
        <w:widowControl w:val="0"/>
        <w:spacing w:after="100" w:afterAutospacing="1"/>
        <w:rPr>
          <w:sz w:val="24"/>
          <w:szCs w:val="24"/>
        </w:rPr>
      </w:pPr>
      <w:r>
        <w:rPr>
          <w:sz w:val="24"/>
        </w:rPr>
        <w:t>Sellisel juhul tuleb pädeva asutuse mudellepingu artikli 2 lõike 2 punkti d vastavalt muuta (vt pädeva asutuse mudellepingu artikli 2 kommentaaride punkti 4).</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Üldjuhul on finantskonto jääk või väärtus see jääk või väärtus, mille finantsasutus kontoomaniku jaoks on arvutanud. Juhul kui tegemist on omakapitali- või võlanõudega finantsasutuse ees, on omakapitali jääk või väärtus see väärtus, mille finantsasutus on arvutanud eesmärgil, mis nõuab kõige sagedasemat väärtuse kindlaksmääramist, ja võlanõude jääk või väärtus on selle põhisumma. Kindlustuslepingu või annuiteedilepingu jääk või väärtus on kalendriaasta või muu asjakohase aruandlusperioodi lõpu seisu jääk või väärtus (vt punkti 15 allpool). Kontojääki ega väärtust ei tohi vähendada konto või kontol olevate vahenditega seotud kontoomaniku võla ega kohustuste tõttu.</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Ühiskonto jääk või väärtus, samuti ühiskontole (või seoses ühiskontoga) makstud või krediteeritud summad omistatakse igale ühiskonto omanikule. Sama kehtib ka</w:t>
      </w:r>
    </w:p>
    <w:p w:rsidR="00010DDB" w:rsidRPr="00E74148" w:rsidRDefault="00010DDB" w:rsidP="00E74148">
      <w:pPr>
        <w:pStyle w:val="Loenditpp"/>
        <w:widowControl w:val="0"/>
        <w:spacing w:after="100" w:afterAutospacing="1"/>
        <w:rPr>
          <w:sz w:val="24"/>
          <w:szCs w:val="24"/>
        </w:rPr>
      </w:pPr>
      <w:r>
        <w:rPr>
          <w:sz w:val="24"/>
        </w:rPr>
        <w:t>kontole, mille omanik on passiivne NFE, kellel on mitu kontrollivat isikut, kes on avaldatavad isikud, ning sellisel juhul omistatakse passiivse NFE konto jääk või väärtus, samuti kõik kontole makstud või krediteeritud summad igale kontrollivale isikule;</w:t>
      </w:r>
    </w:p>
    <w:p w:rsidR="00010DDB" w:rsidRPr="00E74148" w:rsidRDefault="00010DDB" w:rsidP="00E74148">
      <w:pPr>
        <w:pStyle w:val="Loenditpp"/>
        <w:widowControl w:val="0"/>
        <w:spacing w:after="100" w:afterAutospacing="1"/>
        <w:rPr>
          <w:sz w:val="24"/>
          <w:szCs w:val="24"/>
        </w:rPr>
      </w:pPr>
      <w:r>
        <w:rPr>
          <w:sz w:val="24"/>
        </w:rPr>
        <w:t>kontole, mille omanik on avaldatav isik, kelle kohta loetakse, et tal on mitu residendijurisdiktsiooni, ning sellisel juhul tuleb konto jääk või väärtus, samuti kontole makstud või krediteeritud summad avaldada kontoomaniku iga residendijurisdiktsiooni kohta;</w:t>
      </w:r>
    </w:p>
    <w:p w:rsidR="00010DDB" w:rsidRPr="00E74148" w:rsidRDefault="00010DDB" w:rsidP="00E74148">
      <w:pPr>
        <w:pStyle w:val="Loenditpp"/>
        <w:widowControl w:val="0"/>
        <w:spacing w:after="100" w:afterAutospacing="1"/>
        <w:rPr>
          <w:sz w:val="24"/>
          <w:szCs w:val="24"/>
        </w:rPr>
      </w:pPr>
      <w:r>
        <w:rPr>
          <w:sz w:val="24"/>
        </w:rPr>
        <w:t>kontole, mille omanik on passiivne NFE, kellel on kontrolliv isik, kes on avaldatav isik ja kelle kohta loetakse, et tal on mitu residendijurisdiktsiooni, ning sellisel juhul tuleb passiivse NFE konto jääk või väärtus, samuti kontole makstud või krediteeritud summad avaldada kontrolliva isiku iga residendijurisdiktsiooni kohta;</w:t>
      </w:r>
    </w:p>
    <w:p w:rsidR="00010DDB" w:rsidRPr="00E74148" w:rsidRDefault="00010DDB" w:rsidP="00E74148">
      <w:pPr>
        <w:pStyle w:val="Loenditpp"/>
        <w:widowControl w:val="0"/>
        <w:spacing w:after="100" w:afterAutospacing="1"/>
        <w:rPr>
          <w:sz w:val="24"/>
          <w:szCs w:val="24"/>
        </w:rPr>
      </w:pPr>
      <w:r>
        <w:rPr>
          <w:sz w:val="24"/>
        </w:rPr>
        <w:t>kontole, mille omanik on passiivne NFE, mis on avaldatav isik, kellel on kontrolliv isik, kes on avaldatav isik, ning sellisel juhul tuleb passiivse NFE konto jääk või väärtus, samuti kontole makstud või krediteeritud summad avaldada passiivse NFE ja kontrolliva isiku kohta.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Konto sulgemise korral ei ole aruandekohustuslik finantsasutus kohustatud avaldama kontojääki ega väärtust konto sulgemisele eelneva aja ega konto sulgemise seisuga, vaid peab avaldama, et konto suleti. Selleks et määrata kindlaks, millal on konto suletud, tuleb kohaldada asjaomase jurisdiktsiooni seaduseid. Kui kohaldatavad seadused ei reguleeri kontode sulgemist, loetakse konto suletuks aruandekohustusliku finantsasutuse tavapärase praktika alusel, mida kasutatakse järjepidevalt kõikide asutuses olevate kontode puhul. Näiteks loetakse omakapitali- või võlanõue finantsasutuse ees üldjuhul lõppenuks selle lõpetamisel, võõrandamisel, loovutamisel, lunastamisel, tühistamisel või likvideerimisel. Kontot, mille jääk või väärtus võrdub nulliga või on negatiivne, ei suleta üksnes sellise jäägi või väärtuse tõttu.</w:t>
      </w:r>
    </w:p>
    <w:p w:rsidR="00010DDB" w:rsidRPr="00E74148" w:rsidRDefault="00010DDB" w:rsidP="00E74148">
      <w:pPr>
        <w:pStyle w:val="Pealkiri4"/>
        <w:keepNext w:val="0"/>
        <w:widowControl w:val="0"/>
        <w:spacing w:after="100" w:afterAutospacing="1"/>
        <w:rPr>
          <w:sz w:val="24"/>
          <w:szCs w:val="24"/>
        </w:rPr>
      </w:pPr>
      <w:r>
        <w:rPr>
          <w:sz w:val="24"/>
        </w:rPr>
        <w:t>Lõike A punktid 4 kuni 7 – asjakohane aruandlusperiood</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Teavet tuleb edastada asjakohase kalendriaasta või muu asjakohase aruandlusperioodi lõpu seisuga. Asjakohase aruandlusperioodi kindlaksmääramisel tuleb arvesse võtta selle mõiste tähendust iga jurisdiktsiooni aruandlusreeglite, mida peab olema järjepidevalt kohaldatud juba aastaid, alusel. Üldjuhul loetakse asjakohaseks aruandlusperioodiks ajavahemikku eelviimasest lepingu kehtivuse aasta täitumise kuupäevast viimase sellise kuupäevani (näiteks rahalise väärtusega kindlustuslepingu puhul) ja majandusaastat, mis ei lange kokku kalendriaastaga.</w:t>
      </w:r>
    </w:p>
    <w:p w:rsidR="00010DDB" w:rsidRPr="00E74148" w:rsidRDefault="00010DDB" w:rsidP="00E74148">
      <w:pPr>
        <w:pStyle w:val="Pealkiri4"/>
        <w:keepNext w:val="0"/>
        <w:widowControl w:val="0"/>
        <w:spacing w:after="100" w:afterAutospacing="1"/>
        <w:rPr>
          <w:sz w:val="24"/>
          <w:szCs w:val="24"/>
        </w:rPr>
      </w:pPr>
      <w:r>
        <w:rPr>
          <w:sz w:val="24"/>
        </w:rPr>
        <w:t>Lõike A punkti 5 alapunkt a – muu sissetulek</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Hoidmiskonto puhul hõlmab edastatav teave muu, kontol olevate varadega seotud sissetulekute brutosummat, mis on kontole (või seoses kontoga) makstud või krediteeritud kalendriaasta või muu asjakohase aruandlusperioodi jooksul. Muu sissetulek tähendab mis tahes summat, mida loetakse sissetulekuks jurisdiktsiooni, kus konto asub, seaduste alusel ja mis ei ole summa, mida loetakse intressiks, dividendiks või finantsvara müügist või lunastamisest saadud brutotuluks või kapitalikasumiks.</w:t>
      </w:r>
    </w:p>
    <w:p w:rsidR="00010DDB" w:rsidRPr="00E74148" w:rsidRDefault="00010DDB" w:rsidP="00E74148">
      <w:pPr>
        <w:pStyle w:val="Pealkiri4"/>
        <w:keepNext w:val="0"/>
        <w:widowControl w:val="0"/>
        <w:spacing w:after="100" w:afterAutospacing="1"/>
        <w:rPr>
          <w:sz w:val="24"/>
          <w:szCs w:val="24"/>
        </w:rPr>
      </w:pPr>
      <w:r>
        <w:rPr>
          <w:sz w:val="24"/>
        </w:rPr>
        <w:t>Lõike A punkti 5 alapunkt b – brutotulu</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Hoidmiskonto puhul hõlmab edastatav teave finantsvara müügist või lunastamisest saadud brutotulu, mis on makstud või krediteeritud kontole kalendriaasta või muu asjakohase aruandlusperioodi jooksul ja mille suhtes aruandekohustuslik finantsasutus tegutses hoidmisühingu, maakleri, esindajakonto omanikuna või muul viisil kontoomaniku käsundi alusel. Müük või lunastamine tähendab finantsvara mis tahes müüki või lunastamist, mis määratakse kindlaks olenemata sellest, kas finantsvara omanik peab sellise müügi või lunastamise pealt maksu maksma.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Kliiringu- või arveldusasutus, mis haldab avaldatavat kontot ja tegeleb väärtpaberite müügi ja ostuga asutuse liikmete vahel ning kajastab seda netosummana, ei pruugi teada müügist või käsutusest saadavat brutotulu. Kui kliiringu- või arveldusasutus ei tea brutotulu, on brutotulu liikme kontole makstud või krediteeritud netosumma, mida seostatakse selle liikme finantsvara müügi või muu käsutamisega tehingu asutuse arvelduskorra alusel tegemise ajal. Kliiringu- või arveldusasutus tähendab juriidilist isikut, kes tegeleb oma liikmeorganisatsioonide väärtpaberite kliiringuga ja võõrandamise või võõrandamise juhendamisega liikme konto krediteerimise või debiteerimise kaudu ilma väärtpaberite füüsilise kohaletoimetamiseta.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Maakleri vahendusel sõlmitud müügi korral, mille tulemuseks on brutotulu maksmine, loetakse brutotulu maksmise päevaks kuupäeva, mil sellisest müügist saadav tulu krediteeritakse makse saamiseks õigustatud isiku kontole või tehakse talle muul viisil kättesaadavaks.</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Müügist või lunastamisest saadud brutotulu tähendab finantsvara müügi või lunastamise tulemusel realiseeritud kogusummat. Maakleri vahendusel sõlmitud müügi korral tähendab müügist või lunastamisest saadud brutotulu makse saamiseks õigustatud isiku kontole makstud või krediteeritud kogusummat, millele lisandub iga summa, mida ei ole investeerimislaenu tagasimaksmise tõttu selliselt makstud; maakleril on õigus (kuid mitte kohustus) võtta brutotulu kindlaksmääramisel arvesse müügiga seotud vahendustasu. Intresse kandva võlakohustuse korral hõlmab brutotulu intressi maksmise kuupäevade vahel kogunenud intresse.</w:t>
      </w:r>
    </w:p>
    <w:p w:rsidR="00010DDB" w:rsidRPr="00E74148" w:rsidRDefault="00010DDB" w:rsidP="00E74148">
      <w:pPr>
        <w:pStyle w:val="Pealkiri4"/>
        <w:keepNext w:val="0"/>
        <w:widowControl w:val="0"/>
        <w:spacing w:after="100" w:afterAutospacing="1"/>
        <w:rPr>
          <w:sz w:val="24"/>
          <w:szCs w:val="24"/>
        </w:rPr>
      </w:pPr>
      <w:r>
        <w:rPr>
          <w:sz w:val="24"/>
        </w:rPr>
        <w:t>Lõike A punkt 7 – brutosumma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 mis ei ole hoidmiskonto ega hoiusekonto, puhul hõlmab avaldatav teave kontoomanikule, kelle laenuandja või võlgnik aruandekohustuslik finantsasutus on, seoses kontoga kalendriaasta või muu asjakohase aruandlusperioodi jooksul makstud või krediteeritud brutosummat. Selline brutosumma hõlmab näiteks</w:t>
      </w:r>
    </w:p>
    <w:p w:rsidR="00010DDB" w:rsidRPr="00E74148" w:rsidRDefault="00010DDB" w:rsidP="00E74148">
      <w:pPr>
        <w:pStyle w:val="Loenditpp"/>
        <w:widowControl w:val="0"/>
        <w:spacing w:after="100" w:afterAutospacing="1"/>
        <w:rPr>
          <w:sz w:val="24"/>
          <w:szCs w:val="24"/>
        </w:rPr>
      </w:pPr>
      <w:r>
        <w:rPr>
          <w:sz w:val="24"/>
        </w:rPr>
        <w:t>kontoomanikule kalendriaasta või muu asjakohase aruandlusperioodi jooksul (täielikult või osaliselt) tasutud lunastusmaksete ja</w:t>
      </w:r>
    </w:p>
    <w:p w:rsidR="00010DDB" w:rsidRPr="00E74148" w:rsidRDefault="00010DDB" w:rsidP="00E74148">
      <w:pPr>
        <w:pStyle w:val="Loenditpp"/>
        <w:widowControl w:val="0"/>
        <w:spacing w:after="100" w:afterAutospacing="1"/>
        <w:rPr>
          <w:sz w:val="24"/>
          <w:szCs w:val="24"/>
        </w:rPr>
      </w:pPr>
      <w:r>
        <w:rPr>
          <w:sz w:val="24"/>
        </w:rPr>
        <w:t>kontoomanikule rahalise väärtusega kindlustuslepingu või annuiteedilepingu alusel kalendriaasta või muu asjakohase aruandlusperioodi jooksul tasutud maksete, isegi kui selliseid makseid ei loeta rahalise väärtusega makseteks VIII osa lõike C punkti 8 alusel,</w:t>
      </w:r>
      <w:r w:rsidR="00914492">
        <w:rPr>
          <w:sz w:val="24"/>
        </w:rPr>
        <w:t xml:space="preserve"> </w:t>
      </w:r>
      <w:r>
        <w:rPr>
          <w:sz w:val="24"/>
        </w:rPr>
        <w:t>kogusummat.</w:t>
      </w:r>
    </w:p>
    <w:p w:rsidR="00010DDB" w:rsidRPr="00E74148" w:rsidRDefault="00010DDB" w:rsidP="00E74148">
      <w:pPr>
        <w:pStyle w:val="Pealkiri4"/>
        <w:keepNext w:val="0"/>
        <w:widowControl w:val="0"/>
        <w:spacing w:after="100" w:afterAutospacing="1"/>
        <w:rPr>
          <w:sz w:val="24"/>
          <w:szCs w:val="24"/>
        </w:rPr>
      </w:pPr>
      <w:r>
        <w:rPr>
          <w:sz w:val="24"/>
        </w:rPr>
        <w:t>CRS-i skeem ja kasutusjuhend</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pädeva asutuse mudellepingus sätestatud, kasutavad pädevad asutused ühtse aruandluse skeemi avaldatava teabe vahetamiseks. Skeemi võivad teabe edastamiseks kasutada ka aruandekohustuslikud finantsasutused (nagu on riigisiseses õiguses lubatud). Nii graafilise skeemi kui ka kasutusjuhendi leiab lisast 3. Kasutusjuhend võib olla kasulik eelkõige aruandekohustuslikele finantsasutustele, kuna see sisaldab üksikasjalikku teavet iga andmeelemendi ja selle atribuutide kohta. Näiteks kirjeldatakse kasutusjuhendis kolme andmeelementi, mis on seotud konkreetselt sünnikohaga (teave riigi, linna ja linnaosa kohta), ja selgitatakse, et kui avaldada tuleb sünnikoht, tuleb avaldada nii riik (riigikood või nimi) kui ka linn, aga linnaosa avaldamine on valikuline.</w:t>
      </w:r>
    </w:p>
    <w:p w:rsidR="00010DDB" w:rsidRPr="00E74148" w:rsidRDefault="00010DDB" w:rsidP="00E74148">
      <w:pPr>
        <w:pStyle w:val="Pealkiri3"/>
        <w:keepNext w:val="0"/>
        <w:widowControl w:val="0"/>
        <w:spacing w:after="100" w:afterAutospacing="1"/>
        <w:rPr>
          <w:sz w:val="24"/>
          <w:szCs w:val="24"/>
        </w:rPr>
      </w:pPr>
      <w:bookmarkStart w:id="135" w:name="_Toc420331827"/>
      <w:bookmarkStart w:id="136" w:name="_Toc420331896"/>
      <w:r>
        <w:rPr>
          <w:sz w:val="24"/>
        </w:rPr>
        <w:t>Lõige B – valuuta</w:t>
      </w:r>
      <w:bookmarkEnd w:id="135"/>
      <w:bookmarkEnd w:id="136"/>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Edastama peab teavet selle kohta, millises valuutas on konto nimetatud, ja edastatava teabe hulgas peab märkima valuuta, milles iga summa on nimetatud. Kui konto on nimetatud mitmes valuutas, võib aruandekohustuslik finantsasutus otsustada edastada teavet ühes valuutas, milles konto on nimetatud, ja on kohustatud märkima valuuta, milles konto kohta teavet edastatakse.</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Kui finantskonto jääk või väärtus või muu summa on nimetatud valuutas, mis ei ole osaleva jurisdiktsiooni kasutatav valuuta ühtse aruandluse standardi rakendamisel (seoses läve </w:t>
      </w:r>
      <w:r w:rsidR="00010DDB">
        <w:rPr>
          <w:sz w:val="24"/>
        </w:rPr>
        <w:lastRenderedPageBreak/>
        <w:t>või limiidiga), peab aruandekohustuslik finantsasutus arvutama jäägi või väärtuse nii, et teisendab jäägi või väärtuse valuuta ekvivalenti hetkekursi alusel. Kui aruandekohustuslik finantsasutus edastab teavet konto kohta, tuleb hetkekurss määrata kindlaks kalendriaasta või muu asjakohase aruandlusperioodi, mille kohta teavet edastatakse, viimase päeva seisuga.</w:t>
      </w:r>
    </w:p>
    <w:p w:rsidR="00010DDB" w:rsidRPr="00E74148" w:rsidRDefault="00010DDB" w:rsidP="00E74148">
      <w:pPr>
        <w:pStyle w:val="Pealkiri3"/>
        <w:keepNext w:val="0"/>
        <w:widowControl w:val="0"/>
        <w:spacing w:after="100" w:afterAutospacing="1"/>
        <w:rPr>
          <w:sz w:val="24"/>
          <w:szCs w:val="24"/>
        </w:rPr>
      </w:pPr>
      <w:bookmarkStart w:id="137" w:name="_Toc420331828"/>
      <w:bookmarkStart w:id="138" w:name="_Toc420331897"/>
      <w:r>
        <w:rPr>
          <w:sz w:val="24"/>
        </w:rPr>
        <w:t>Lõiked C kuni F – erandid</w:t>
      </w:r>
      <w:bookmarkEnd w:id="137"/>
      <w:bookmarkEnd w:id="138"/>
    </w:p>
    <w:p w:rsidR="00010DDB" w:rsidRPr="00E74148" w:rsidRDefault="00010DDB" w:rsidP="00E74148">
      <w:pPr>
        <w:pStyle w:val="Pealkiri4"/>
        <w:keepNext w:val="0"/>
        <w:widowControl w:val="0"/>
        <w:spacing w:after="100" w:afterAutospacing="1"/>
        <w:rPr>
          <w:sz w:val="24"/>
          <w:szCs w:val="24"/>
        </w:rPr>
      </w:pPr>
      <w:r>
        <w:rPr>
          <w:sz w:val="24"/>
        </w:rPr>
        <w:t>TIN ja sünniaeg</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C on sätestatud erand olemasolevate kontode jaoks, mille kohaselt ei pea vahetatava teabe hulka lisama TIN-i/-e ega sünniaega, kui (i) sellist TIN-i või sünniaega aruandekohustusliku finantsasutuse kogutud andmete hulgas ei ole ja (ii) riigisisese õiguse kohaselt ei pea aruandekohustuslik finantsasutus TIN-i ega sünniaega ka muul põhjusel koguma. Seega tuleb TIN või sünniaeg avaldada, kui</w:t>
      </w:r>
    </w:p>
    <w:p w:rsidR="00010DDB" w:rsidRPr="00E74148" w:rsidRDefault="00010DDB" w:rsidP="00E74148">
      <w:pPr>
        <w:pStyle w:val="Loenditpp"/>
        <w:widowControl w:val="0"/>
        <w:spacing w:after="100" w:afterAutospacing="1"/>
        <w:rPr>
          <w:sz w:val="24"/>
          <w:szCs w:val="24"/>
        </w:rPr>
      </w:pPr>
      <w:r>
        <w:rPr>
          <w:sz w:val="24"/>
        </w:rPr>
        <w:t>TIN või sünniaeg on aruandekohustusliku finantsasutuse kogutud andmete hulgas olemas (olenemata sellest, kas nende andmete olemasolu on kohustuslik või mitte) või</w:t>
      </w:r>
    </w:p>
    <w:p w:rsidR="00010DDB" w:rsidRPr="00E74148" w:rsidRDefault="00010DDB" w:rsidP="00E74148">
      <w:pPr>
        <w:pStyle w:val="Loenditpp"/>
        <w:widowControl w:val="0"/>
        <w:spacing w:after="100" w:afterAutospacing="1"/>
        <w:rPr>
          <w:sz w:val="24"/>
          <w:szCs w:val="24"/>
        </w:rPr>
      </w:pPr>
      <w:r>
        <w:rPr>
          <w:sz w:val="24"/>
        </w:rPr>
        <w:t>TIN-i või sünniaega aruandekohustusliku finantsasutuse kogutud andmete hulgas ei ole, kuid riigisisese õiguse kohaselt peab aruandekohustuslik finantsasutus neid andmeid muul põhjusel (nt rahapesu tõkestamise / klienditundmise põhimõte) koguma.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 finantsasutuse andmed hõlmavad kliendi põhifaili ja elektrooniliselt otsitavat teavet (vt punkti 34 allpool). Kliendi põhifail hõlmab aruandekohustusliku finantsasutuse peamisi faile kontoomaniku kohta teabe hoidmiseks, näiteks kontoomanikuga ühenduse võtmiseks ja rahapesu tõkestamise / klienditundmise põhimõtte järgimiseks vajalik teave. Üldjuhul on aruandekohustuslikel finantsasutustel kaks aastat aega, et lõpetada ülevaatusmenetlus madalama väärtusega kontode hulgast avaldatavate kontode tuvastamiseks (vt III osa kommentaaride punkti 51), tänu millele saavad nad esmalt vaadata läbi oma elektroonilised andmed (või küsida kontoomanikult tema TIN-i või sünniaega) ja seejärel paberil olevad andmed.</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Isegi kui aruandekohustusliku finantsasutuse andmed ei sisalda olemasoleva konto kohta TIN-i või sünniaega ja riigisisese õiguse kohaselt ei pea ta selliseid andmeid ka muul põhjusel koguma, peab aruandekohustuslik finantsasutus tegema mõistlikke jõupingutusi selleks, et hankida olemasolevate kontode kohta TIN(-id) ja sünniaeg teise kalendriaasta, mis järgneb aastale, mil konto loeti avaldatavaks kontoks, lõpuks, välja arvatud juhul, kui TIN-ile kohaldub mõni lõikes D sätestatud eranditest ja seda ei pea avaldama.</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Mõistlikud jõupingutused tähendab tõelist pingutust avaldatava konto omaniku TIN-i ja sünniaja hankimiseks. Selliseid jõupingutusi tuleb teha vähemalt korra aastas ajavahemikul olemasoleva konto avaldatavaks kontoks lugemisest teise kalendriaasta, mis järgneb aastale, mil konto loeti avaldatavaks kontoks, lõpuni. Mõistlikud jõupingutused on näiteks kontoomanikuga ühenduse võtmine (näiteks e-kirja või telefoni teel või isiklikult), sealhulgas taotluse esitamine muu dokumendi osana või elektrooniliselt (näiteks faksi või e-kirja teel), ja aruandekohustusliku finantsasutusega seotud ettevõtte otsingut võimaldava elektroonilise teabe läbivaatamine kooskõlas VII osa lõikes C sätestatud liitmispõhimõtetega. Kuid mõistlikud jõupingutused ei pruugi nõuda konto sulgemist, blokeerimist või võõrandamist ega selle kasutamisele tingimuste või piirangute seadmist. Olenemata eeltoodust võib mõistlike </w:t>
      </w:r>
      <w:r w:rsidR="00010DDB">
        <w:rPr>
          <w:sz w:val="24"/>
        </w:rPr>
        <w:lastRenderedPageBreak/>
        <w:t>jõupingutuste tegemist jätkata ka pärast eelnimetatud ajavahemiku lõppu.</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D on sätestatud erand, mis kehtib nii olemasolevatele kui ka uutele kontodele. TIN-i ei pea vahetatava teabe hulka lisama, kui</w:t>
      </w:r>
    </w:p>
    <w:p w:rsidR="00010DDB" w:rsidRPr="00E74148" w:rsidRDefault="00010DDB" w:rsidP="005C33A2">
      <w:pPr>
        <w:pStyle w:val="Loendinumber"/>
        <w:widowControl w:val="0"/>
        <w:numPr>
          <w:ilvl w:val="0"/>
          <w:numId w:val="12"/>
        </w:numPr>
        <w:spacing w:after="100" w:afterAutospacing="1"/>
        <w:rPr>
          <w:sz w:val="24"/>
          <w:szCs w:val="24"/>
        </w:rPr>
      </w:pPr>
      <w:r>
        <w:rPr>
          <w:sz w:val="24"/>
        </w:rPr>
        <w:t>avaldatavas jurisdiktsioonis TIN-e ei väljastata või</w:t>
      </w:r>
    </w:p>
    <w:p w:rsidR="00010DDB" w:rsidRPr="00E74148" w:rsidRDefault="00010DDB" w:rsidP="005C33A2">
      <w:pPr>
        <w:pStyle w:val="Loendinumber"/>
        <w:widowControl w:val="0"/>
        <w:numPr>
          <w:ilvl w:val="0"/>
          <w:numId w:val="12"/>
        </w:numPr>
        <w:spacing w:after="100" w:afterAutospacing="1"/>
        <w:rPr>
          <w:sz w:val="24"/>
          <w:szCs w:val="24"/>
        </w:rPr>
      </w:pPr>
      <w:r>
        <w:rPr>
          <w:sz w:val="24"/>
        </w:rPr>
        <w:t>avaldatava jurisdiktsiooni riigisisene õigus ei nõua selle jurisdiktsiooni väljastatavate TIN-ide andmete kogumist.</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Loetakse, et avaldatavas jurisdiktsioonis TIN-e ei väljastata, kui (i) jurisdiktsioonis ei väljastata maksumaksja identifitseerimisnumbrit ega maksumaksja identifitseerimisnumbri puudumisel selle toimivat ekvivalenti (vt VIII osa kommentaaride punkti 148) või (ii) jurisdiktsioonis ei ole TIN-i väljastatud konkreetsele isikule või ettevõttele. Selle tõttu ei pea TIN-i avaldama avaldatava konto kohta, mille omanik on avaldatav isik, kes on selle jurisdiktsiooni resident või kellele ei ole TIN-i väljastatud. Kuid kui avaldatav jurisdiktsioon hakkab TIN-e väljastama ja väljastab TIN-i konkreetsele avaldatavale isikule, ei ole lõikes D sätestatud erand enam kohaldatav ja avaldatava isiku TIN tuleb avaldada, kui aruandekohustuslik finantsasutus hangib TIN-i sisaldava kinnituse või hangib TIN-i muul viisil.</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D punktis (ii) kirjeldatud erand keskendub kontoomaniku jurisdiktsiooni riigisisesele õigusele. Kui avaldatav jurisdiktsioon on väljastanud TIN-i avaldatavale isikule, kellel on avaldatav konto, ja jurisdiktsiooni riigisisese õiguse alusel ei saa nõuda sellise TIN-i kogumist (näiteks põhjusel, et seaduse alusel on TIN-i avaldamine maksumaksjale vabatahtlik), ei pea sellist kontot haldav aruandekohustuslik finantsasutus TIN-i hankima ega avaldama. Kuid aruandekohustuslikul finantsasutusel ei ole keelatud kontoomaniku TIN-i küsida ega koguda selle avaldamise eesmärgil, kui kontoomanik otsustab TIN-i avaldada. Sellisel juhul on aruandekohustuslik finantsasutus kohustatud TIN-i avaldama. Tegelikkuses võib olla vaid paar jurisdiktsiooni, kus seda võib juhtuda (näiteks Austraalias).</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Eeldatakse, et osalevad jurisdiktsioonid annavad aruandekohustuslikele finantsasutustele vajalikus ulatuses teavet maksumaksjate identifitseerimisnumbrite väljastamise, kogumise, struktuuri ja muude üksikasjade kohta. OECD teeb jõupingutusi selle levitamise hõlbustamiseks.</w:t>
      </w:r>
    </w:p>
    <w:p w:rsidR="00010DDB" w:rsidRPr="00E74148" w:rsidRDefault="00010DDB" w:rsidP="00E74148">
      <w:pPr>
        <w:pStyle w:val="Pealkiri4"/>
        <w:keepNext w:val="0"/>
        <w:widowControl w:val="0"/>
        <w:spacing w:after="100" w:afterAutospacing="1"/>
        <w:rPr>
          <w:sz w:val="24"/>
          <w:szCs w:val="24"/>
        </w:rPr>
      </w:pPr>
      <w:r>
        <w:rPr>
          <w:sz w:val="24"/>
        </w:rPr>
        <w:t>Sünniaeg</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E on sätestatud erand nii olemasolevate kui ka uute kontode, mille kohaselt ei pea sünnikohta vahetatava teabe hulka lisama, kohta, välja arvatud juhul, kui aruandekohustuslik finantsasutus peab neid andmeid riigisisese õiguse kohaselt muul põhjusel koguma ja edastama ning nad on kättesaadavad aruandekohustusliku finantsasutuse elektroonilisest andmebaasist. Seega tuleb sünnikoht avaldada juhul, kui asjaomase kontoomaniku puhul</w:t>
      </w:r>
    </w:p>
    <w:p w:rsidR="00010DDB" w:rsidRPr="00E74148" w:rsidRDefault="00010DDB" w:rsidP="00E74148">
      <w:pPr>
        <w:pStyle w:val="Loenditpp"/>
        <w:widowControl w:val="0"/>
        <w:spacing w:after="100" w:afterAutospacing="1"/>
        <w:rPr>
          <w:sz w:val="24"/>
          <w:szCs w:val="24"/>
        </w:rPr>
      </w:pPr>
      <w:r>
        <w:rPr>
          <w:sz w:val="24"/>
        </w:rPr>
        <w:t>on aruandekohustuslik finantsasutus muul põhjusel kohustatud sünnikohta hankima ja avaldama riigisisese õiguse alusel ning</w:t>
      </w:r>
    </w:p>
    <w:p w:rsidR="00010DDB" w:rsidRPr="00E74148" w:rsidRDefault="00010DDB" w:rsidP="00E74148">
      <w:pPr>
        <w:pStyle w:val="Loenditpp"/>
        <w:widowControl w:val="0"/>
        <w:spacing w:after="100" w:afterAutospacing="1"/>
        <w:rPr>
          <w:sz w:val="24"/>
          <w:szCs w:val="24"/>
        </w:rPr>
      </w:pPr>
      <w:r>
        <w:rPr>
          <w:sz w:val="24"/>
        </w:rPr>
        <w:t>sünnikoht on leitav aruandekohustusliku finantsasutuse elektroonilisest andmebaasist.</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Elektrooniline teave / elektroonilised andmed tähendab teavet, mida aruandekohustuslik finantsasutus säilitab oma maksuaruannete failides, klientide põhifailides või muudes </w:t>
      </w:r>
      <w:r w:rsidR="00010DDB">
        <w:rPr>
          <w:sz w:val="24"/>
        </w:rPr>
        <w:lastRenderedPageBreak/>
        <w:t>sarnastes failides ja mida säilitatakse elektroonilise andmebaasina, milles saab teha standardpäringuid programmeerimiskeeles, näiteks struktuurpäringukeeles. Teave, andmed ja failid ei võimalda elektroonilist otsingut pelgalt selle tõttu, et neid hoitakse pildiotsingu süsteemis (näiteks teisaldatav do</w:t>
      </w:r>
      <w:r w:rsidR="00394DD4">
        <w:rPr>
          <w:sz w:val="24"/>
        </w:rPr>
        <w:t>kumendiformaat (.pdf) või skanneri</w:t>
      </w:r>
      <w:r w:rsidR="00010DDB">
        <w:rPr>
          <w:sz w:val="24"/>
        </w:rPr>
        <w:t>tud dokumendid). Selles kontekstis ei hõlma edastamine teavet, mida antakse üksnes taotlusel.</w:t>
      </w:r>
    </w:p>
    <w:p w:rsidR="00010DDB" w:rsidRPr="00E74148" w:rsidRDefault="00010DDB" w:rsidP="00E74148">
      <w:pPr>
        <w:pStyle w:val="Pealkiri4"/>
        <w:keepNext w:val="0"/>
        <w:widowControl w:val="0"/>
        <w:spacing w:after="100" w:afterAutospacing="1"/>
        <w:rPr>
          <w:sz w:val="24"/>
          <w:szCs w:val="24"/>
        </w:rPr>
      </w:pPr>
      <w:r>
        <w:rPr>
          <w:sz w:val="24"/>
        </w:rPr>
        <w:t>Brutotulu</w:t>
      </w:r>
    </w:p>
    <w:p w:rsidR="00010DDB" w:rsidRPr="00E74148" w:rsidRDefault="00F15FDA" w:rsidP="00324DEF">
      <w:pPr>
        <w:pStyle w:val="Num-DocParagraph"/>
        <w:widowControl w:val="0"/>
        <w:numPr>
          <w:ilvl w:val="0"/>
          <w:numId w:val="6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F on sätestatud erand aasta kohta, mil tuleb teavet esitada. Aruandekohustuslikel finantsasutustel võib olla keeruline juurutada tegevuskorda, mille alusel saada teavet finantsvara müügist või lunastamisest saadud kogu brutotulu kohta. Seega võivad jurisdiktsioonid ühtse aruandluse standardi rakendamisel (vajaduse korral) kaaluda sellise brutotulu kohta teabe esitamise kohustuse järk-järgulist kehtestamist. Sellisel juhul lisatakse üleminekusäte lõikena F.</w:t>
      </w:r>
      <w:bookmarkStart w:id="139" w:name="_Toc374431988"/>
      <w:bookmarkStart w:id="140" w:name="_Toc374431901"/>
    </w:p>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141" w:name="_Toc389723153"/>
      <w:bookmarkStart w:id="142" w:name="_Toc420331829"/>
      <w:bookmarkStart w:id="143" w:name="_Toc420331898"/>
      <w:r w:rsidRPr="00E74148">
        <w:rPr>
          <w:sz w:val="24"/>
          <w:szCs w:val="24"/>
        </w:rPr>
        <w:fldChar w:fldCharType="end"/>
      </w:r>
      <w:r w:rsidR="00010DDB">
        <w:rPr>
          <w:sz w:val="24"/>
        </w:rPr>
        <w:t>Üldiseid hoolsusmeetmeid käsitleva II osa kommentaarid</w:t>
      </w:r>
      <w:bookmarkEnd w:id="139"/>
      <w:bookmarkEnd w:id="140"/>
      <w:bookmarkEnd w:id="141"/>
      <w:bookmarkEnd w:id="142"/>
      <w:bookmarkEnd w:id="143"/>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Pr="00E74148">
        <w:rPr>
          <w:sz w:val="24"/>
          <w:szCs w:val="24"/>
        </w:rPr>
        <w:fldChar w:fldCharType="begin"/>
      </w:r>
      <w:r w:rsidR="00010DDB">
        <w:rPr>
          <w:sz w:val="24"/>
          <w:szCs w:val="24"/>
        </w:rPr>
        <w:instrText>MACROBUTTON CHAP</w:instrText>
      </w:r>
      <w:r w:rsidRPr="00E74148">
        <w:rPr>
          <w:sz w:val="24"/>
          <w:szCs w:val="24"/>
        </w:rPr>
        <w:fldChar w:fldCharType="end"/>
      </w:r>
      <w:r w:rsidR="00010DDB">
        <w:rPr>
          <w:sz w:val="24"/>
        </w:rPr>
        <w:t>See osa sisaldab üldisi hoolsusmeetmeid. Samuti käsitletakse selles teenusepakkujatele tuginemist ja alternatiivseid hoolsusmeetmeid olemasolevate kontode jaoks.</w:t>
      </w:r>
    </w:p>
    <w:p w:rsidR="00010DDB" w:rsidRPr="00E74148" w:rsidRDefault="00010DDB" w:rsidP="00E74148">
      <w:pPr>
        <w:pStyle w:val="Pealkiri3"/>
        <w:keepNext w:val="0"/>
        <w:widowControl w:val="0"/>
        <w:spacing w:after="100" w:afterAutospacing="1"/>
        <w:rPr>
          <w:sz w:val="24"/>
          <w:szCs w:val="24"/>
        </w:rPr>
      </w:pPr>
      <w:bookmarkStart w:id="144" w:name="_Toc420331830"/>
      <w:bookmarkStart w:id="145" w:name="_Toc420331899"/>
      <w:r>
        <w:rPr>
          <w:sz w:val="24"/>
        </w:rPr>
        <w:t>Lõiked A kuni C – üldised hoolsusmeetmed</w:t>
      </w:r>
      <w:bookmarkEnd w:id="144"/>
      <w:bookmarkEnd w:id="145"/>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järgi käsitatakse kontot avaldatava kontona alates kuupäevast, mil see loeti selliseks II kuni VII osas sätestatud hoolsusmeetmete kohaselt. Kui konto on loetud avaldatavaks kontoks, jääb see selliseks kuni ajani, mil see ei ole enam avaldatav konto (näiteks kuna kontoomanik ei ole enam avaldatav isik või konto muutub välistatud kontoks, konto suletakse või võõrandatakse täielikult), isegi kui kontojääk või väärtus võrdub nulliga või on negatiivne või kui kontole (või seoses kontoga) ei ole makstud ega krediteeritud ühtegi summat. Kui kontot loetakse avaldatavaks kontoks selle staatuse alusel kalendriaasta või aruandlusperioodi lõpu seisuga, tuleb selle konto kohta avaldada teavet nii, nagu oleks konto olnud avaldatav konto kogu kalendriaasta või aruandlusperioodi, mil see selliseks loeti, vältel. Kui avaldatav konto suletakse, tuleb teavet selle konto kohta avaldada kuni konto sulgemise päevani. Kui ei ole sätestatud teisiti, peab avaldatava konto kohta teavet vahetama iga kalendriaasta jooksul pärast selle kalendriaasta, mille kohta teave käib, lõppu.</w:t>
      </w:r>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lõike A kohaldamist.</w:t>
      </w:r>
    </w:p>
    <w:p w:rsidR="00010DDB" w:rsidRPr="00E74148" w:rsidRDefault="00010DDB" w:rsidP="00E74148">
      <w:pPr>
        <w:pStyle w:val="Loenditpp"/>
        <w:widowControl w:val="0"/>
        <w:spacing w:after="100" w:afterAutospacing="1"/>
        <w:rPr>
          <w:sz w:val="24"/>
          <w:szCs w:val="24"/>
        </w:rPr>
      </w:pPr>
      <w:r>
        <w:rPr>
          <w:sz w:val="24"/>
        </w:rPr>
        <w:t>Näide 1 (konto muutub avaldatavaks kontoks). Konto avatakse 28. mail 2000 ja see loetakse avaldatavaks kontoks 3. detsembril 2001. Kuna konto loeti avaldatavaks kontoks 2001. kalendriaastal, tuleb selle avaldatava konto kohta vahetada teavet 2002. kalendriaastal kogu 2001. kalendriaasta kohta ja igal aastal pärast seda.</w:t>
      </w:r>
    </w:p>
    <w:p w:rsidR="00010DDB" w:rsidRPr="00E74148" w:rsidRDefault="00010DDB" w:rsidP="00E74148">
      <w:pPr>
        <w:pStyle w:val="Loenditpp"/>
        <w:widowControl w:val="0"/>
        <w:spacing w:after="100" w:afterAutospacing="1"/>
        <w:rPr>
          <w:sz w:val="24"/>
          <w:szCs w:val="24"/>
        </w:rPr>
      </w:pPr>
      <w:r>
        <w:rPr>
          <w:sz w:val="24"/>
        </w:rPr>
        <w:t>Näide 2 (konto, mille avaldatava konto staatus lõpeb). Asjaolud on samad nagu esimeses näites. Kuid 24. märtsil 2002 lõpeb kontoomaniku avaldatava isiku staatus ja selle tagajärjel kaotab ka konto avaldatava konto staatuse. Kuna konto kaotas avaldatava konto staatuse 24. märtsil 2002, ei pea 2003. kalendriaastal ega hiljem selle konto kohta teavet vahetama, välja arvatud juhul, kui konto muutub 2003. kalendriaastal või hiljem taas avaldatavaks kontoks.</w:t>
      </w:r>
    </w:p>
    <w:p w:rsidR="00010DDB" w:rsidRPr="00E74148" w:rsidRDefault="00010DDB" w:rsidP="00E74148">
      <w:pPr>
        <w:pStyle w:val="Loenditpp"/>
        <w:widowControl w:val="0"/>
        <w:spacing w:after="100" w:afterAutospacing="1"/>
        <w:rPr>
          <w:sz w:val="24"/>
          <w:szCs w:val="24"/>
        </w:rPr>
      </w:pPr>
      <w:r>
        <w:rPr>
          <w:sz w:val="24"/>
        </w:rPr>
        <w:lastRenderedPageBreak/>
        <w:t>Näide 3 (konto, mis suletakse). Konto avatakse 9. septembril 2004 ja see muutub avaldatavaks kontoks 8. veebruaril 2005. Kuid 27. septembril 2005 sulgeb kontoomanik konto. Kuna 8. veebruarist 27. septembrini 2005 oli konto avaldatav konto ja see suleti 2005. kalendriaastal, tuleb selle konto kohta vahetada teavet (sealhulgas konto sulgemise kohta) 2006. kalendriaastal ajavahemiku 2005. aasta 1. jaanuarist 27. septembrini kohta.</w:t>
      </w:r>
    </w:p>
    <w:p w:rsidR="00010DDB" w:rsidRPr="00E74148" w:rsidRDefault="00010DDB" w:rsidP="00E74148">
      <w:pPr>
        <w:pStyle w:val="Loenditpp"/>
        <w:widowControl w:val="0"/>
        <w:spacing w:after="100" w:afterAutospacing="1"/>
        <w:rPr>
          <w:sz w:val="24"/>
          <w:szCs w:val="24"/>
        </w:rPr>
      </w:pPr>
      <w:r>
        <w:rPr>
          <w:sz w:val="24"/>
        </w:rPr>
        <w:t>Näide 4 (konto, mille avaldatava konto staatus lõpeb ja mis suletakse). Asjaolud on samad nagu teises näites, kuid 4. juulil 2002 sulgeb kontoomanik konto. Kuna konto avaldatava konto staatus lõppes 24. märtsil 2002, ei pea 2003. kalendriaastal selle konto kohta teavet vahetama.</w:t>
      </w:r>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Avaldatava teabe hulgas tuleb märkida ka kontojääk või väärtus, mis on olulised ka muudel põhjustel, näiteks ettevõtte olemasolevate kontodega seotud hoolsusmeetmete tõttu (vt V osa lõikeid A ja B ning lõike E punkte 1 ja 2) ja kontojäägi liitmise eeskirjadega (vt VII osa lõike C punkte 1 ja 2). Lõike B kohaselt määratakse konto jääk või väärtus kindlaks kalendriaasta või muu asjakohase aruandlusperioodi viimase päeva seisuga.</w:t>
      </w:r>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C sätestab, et kui jäägi või väärtuse piir tuleb määrata kindlaks kalendriaasta viimase päeva seisuga (vt III osa lõike C punkti 6 ja V osa lõikeid A ja B), määratakse vastav jääk või väärtus kindlaks selle aruandlusperioodi viimase päeva seisuga, mis lõpeb selle kalendriaastaga või lõpeb selle kalendriaasta sees. Seega, kui aruandlusperiood lõpeb kalendriaastaga, tuleb kontojääk või väärtus määrata kindlaks selle kalendriaasta 31. detsembri seisuga. Kui aga aruandlusperiood lõpeb kalendriaasta sees, tuleb kontojääk või väärtus määrata kindlaks aruandlusperioodi viimase päeva seisuga, kuid selle kalendriaasta sees.</w:t>
      </w:r>
    </w:p>
    <w:p w:rsidR="00010DDB" w:rsidRPr="00A63482" w:rsidRDefault="00010DDB" w:rsidP="00E74148">
      <w:pPr>
        <w:pStyle w:val="Pealkiri3"/>
        <w:keepNext w:val="0"/>
        <w:widowControl w:val="0"/>
        <w:spacing w:after="100" w:afterAutospacing="1"/>
        <w:rPr>
          <w:sz w:val="24"/>
          <w:szCs w:val="24"/>
        </w:rPr>
      </w:pPr>
      <w:bookmarkStart w:id="146" w:name="_Toc420331831"/>
      <w:bookmarkStart w:id="147" w:name="_Toc420331900"/>
      <w:r w:rsidRPr="00A63482">
        <w:rPr>
          <w:sz w:val="24"/>
        </w:rPr>
        <w:t>Lõige D – teenusepakkujatele tuginemine</w:t>
      </w:r>
      <w:bookmarkEnd w:id="146"/>
      <w:bookmarkEnd w:id="147"/>
    </w:p>
    <w:p w:rsidR="00A63482" w:rsidRPr="00A63482"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A63482">
        <w:rPr>
          <w:sz w:val="24"/>
          <w:szCs w:val="24"/>
        </w:rPr>
        <w:fldChar w:fldCharType="begin"/>
      </w:r>
      <w:r w:rsidR="00010DDB" w:rsidRPr="00A63482">
        <w:rPr>
          <w:sz w:val="24"/>
          <w:szCs w:val="24"/>
        </w:rPr>
        <w:instrText>MACROBUTTON NUMBERING</w:instrText>
      </w:r>
      <w:r w:rsidRPr="00A63482">
        <w:rPr>
          <w:sz w:val="24"/>
          <w:szCs w:val="24"/>
        </w:rPr>
        <w:fldChar w:fldCharType="end"/>
      </w:r>
      <w:r w:rsidR="00010DDB" w:rsidRPr="00A63482">
        <w:rPr>
          <w:sz w:val="24"/>
        </w:rPr>
        <w:t>Lõike D kohaselt võib jurisdiktsioon lubada aruandekohustuslikel finantsasutustel kasutada neile pandud aruandluse ja hoolsusmeetmetega seotud kohustuste täitmiseks teenusepakkujat (näiteks võib jurisdiktsioon lubada aruandekohustuslikel finantsasutustel tugineda teenusepakkuja kasutatud hoolsusmeetmetele). Sellisel juhul peavad aruandekohustuslikud finantsasutused täitma riigisiseses õiguses ette nähtud nõudeid ning vastutama neile pandud aruandluse ja hoolsusmeetmetega seotud kohustuste täitmise eest (näiteks pannakse teenusepakkuja tegevus aruandekohustusliku finantsasutuse arvele), sealhulgas riigisiseses õiguses sätestatud konfidentsiaalsus- ja andmekaitsenõuetega seotud kohustuste täitmise eest. See alternatiiv võimaldab aruandekohustuslikul finantsasutusel kasutada teenusepakkujat, kes on aruandekohustusliku finantsasutusega sama jurisdiktsiooni või eri jurisdiktsiooni resident. Samuti ei muuda see aruandluse ja hoolsusmeetmetega seotud kohustuste täitmise aega ega viisi, mis kehtivad endiselt selliselt, nagu täidaks neid kohustusi aruandekohustuslik finantsasutus ise. Näiteks peab teenusepakkuja avaldama teavet, nagu oleks seda teinud aruandekohustuslik finantsasutus (näiteks samale jurisdiktsioonile), ja märkima ära aruandekohustusliku finantsasutuse, kelle eest ta aruandluse ja hoolsusmeetmetega seotud kohustusi täidab.</w:t>
      </w:r>
    </w:p>
    <w:p w:rsidR="00010DDB" w:rsidRPr="00A63482"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A63482">
        <w:rPr>
          <w:sz w:val="24"/>
          <w:szCs w:val="24"/>
        </w:rPr>
        <w:fldChar w:fldCharType="begin"/>
      </w:r>
      <w:r w:rsidR="00010DDB" w:rsidRPr="00A63482">
        <w:rPr>
          <w:sz w:val="24"/>
          <w:szCs w:val="24"/>
        </w:rPr>
        <w:instrText>MACROBUTTON NUMBERING</w:instrText>
      </w:r>
      <w:r w:rsidRPr="00A63482">
        <w:rPr>
          <w:sz w:val="24"/>
          <w:szCs w:val="24"/>
        </w:rPr>
        <w:fldChar w:fldCharType="end"/>
      </w:r>
      <w:r w:rsidR="00010DDB" w:rsidRPr="00A63482">
        <w:rPr>
          <w:sz w:val="24"/>
        </w:rPr>
        <w:t xml:space="preserve">Järgnev näide illustreerib lõike D kohaldamist. Investeerimisettevõte P on avatud investeerimisfond, mida haldab fondihaldur M, kes on osaleva jurisdiktsiooni B resident, ja mis ei kvalifitseeru kollektiivse investeerimisüksusena. Osalev jurisdiktsioon B võimaldab aruandekohustuslikel finantsasutustel kasutada kõikide oma CRS-iga seotud kohustuste täitmiseks teenusepakkujat. Kuna investeerimisettevõte P on osaleva jurisdiktsiooni B </w:t>
      </w:r>
      <w:r w:rsidR="00010DDB" w:rsidRPr="00A63482">
        <w:rPr>
          <w:sz w:val="24"/>
        </w:rPr>
        <w:lastRenderedPageBreak/>
        <w:t>aruandekohustuslik finantsasutus, võib investeerimisettevõte P kasutada hoolsusmeetmete, aruandluse ja CRS-iga seotud kohustuste täitmiseks fondihaldurit M.</w:t>
      </w:r>
    </w:p>
    <w:p w:rsidR="00010DDB" w:rsidRPr="00E74148" w:rsidRDefault="00010DDB" w:rsidP="00E74148">
      <w:pPr>
        <w:pStyle w:val="Pealkiri3"/>
        <w:keepNext w:val="0"/>
        <w:widowControl w:val="0"/>
        <w:spacing w:after="100" w:afterAutospacing="1"/>
        <w:rPr>
          <w:sz w:val="24"/>
          <w:szCs w:val="24"/>
        </w:rPr>
      </w:pPr>
      <w:bookmarkStart w:id="148" w:name="_Toc420331832"/>
      <w:bookmarkStart w:id="149" w:name="_Toc420331901"/>
      <w:r>
        <w:rPr>
          <w:sz w:val="24"/>
        </w:rPr>
        <w:t>Lõige E – alternatiivsed hoolsusmeetmed olemasolevate kontode jaoks</w:t>
      </w:r>
      <w:bookmarkEnd w:id="148"/>
      <w:bookmarkEnd w:id="149"/>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E kohaselt võib jurisdiktsioon lubada aruandekohustuslikel finantsasutustel kasutada (i) uutele kontodele kehtestatud hoolsusmeetmeid olemasolevate kontode puhul ning (ii) kõrgema väärtusega kontodele kehtestatud hoolsusmeetmeid madalama väärtusega kontode puhul. Samuti võib ta lubada aruandekohustuslikel finantsasutustel teha selline valik kas kõikide olemasolevate kontode jaoks või selgelt määratletud kontode grupi jaoks (näiteks tegevusala alusel või asukoha, kus kontot hallatakse, alusel).</w:t>
      </w:r>
    </w:p>
    <w:p w:rsidR="00010DDB" w:rsidRPr="00E74148" w:rsidRDefault="00F15FDA" w:rsidP="00324DEF">
      <w:pPr>
        <w:pStyle w:val="Num-DocParagraph"/>
        <w:widowControl w:val="0"/>
        <w:numPr>
          <w:ilvl w:val="0"/>
          <w:numId w:val="72"/>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Juhul kui jurisdiktsioon lubab uutele kontodele kehtestatud hoolsusmeetmeid kasutada olemasolevate kontode puhul, jäävad olemasolevatele kontodele kehtestatud ülejäänud reeglid kehtima. Seega võib aruandekohustuslik finantsasutus kohaldada uutele kontodele kehtestatud hoolsusmeetmeid, ilma et ta peaks loobuma olemasolevatele kontodele kehtivatest kergendavatest sätetest, näiteks I osa lõikest C, III osa lõikest A ja V osa lõikest A, mis jäävad sellises olukorras kehtima. Samuti piisab III osa lõike B punkti 1 alusel füüsilise isiku olemasoleva konto kohta ühe elukoha avaldamisest, et täita I osas sätestatud aruandlusega seotud nõuded.</w:t>
      </w:r>
    </w:p>
    <w:p w:rsidR="00010DDB" w:rsidRPr="00E74148" w:rsidRDefault="00010DDB" w:rsidP="00E74148">
      <w:pPr>
        <w:pStyle w:val="Pealkiri1"/>
        <w:keepNext w:val="0"/>
        <w:widowControl w:val="0"/>
        <w:spacing w:after="100" w:afterAutospacing="1"/>
        <w:rPr>
          <w:sz w:val="24"/>
          <w:szCs w:val="24"/>
        </w:rPr>
      </w:pPr>
      <w:bookmarkStart w:id="150" w:name="_Toc389723154"/>
      <w:bookmarkStart w:id="151" w:name="_Toc374431989"/>
      <w:bookmarkStart w:id="152" w:name="_Toc374431904"/>
      <w:bookmarkStart w:id="153" w:name="_Toc420331833"/>
      <w:bookmarkStart w:id="154" w:name="_Toc420331902"/>
      <w:r>
        <w:rPr>
          <w:sz w:val="24"/>
        </w:rPr>
        <w:t>Füüsilise isiku olemasolevate kontodega seotud hoolsusmeetmeid käsitleva III osa kommentaarid</w:t>
      </w:r>
      <w:bookmarkEnd w:id="150"/>
      <w:bookmarkEnd w:id="151"/>
      <w:bookmarkEnd w:id="152"/>
      <w:bookmarkEnd w:id="153"/>
      <w:bookmarkEnd w:id="154"/>
    </w:p>
    <w:p w:rsidR="00010DDB" w:rsidRPr="00E74148" w:rsidRDefault="00F15FDA" w:rsidP="00324DEF">
      <w:pPr>
        <w:pStyle w:val="Num-DocParagraph"/>
        <w:widowControl w:val="0"/>
        <w:numPr>
          <w:ilvl w:val="0"/>
          <w:numId w:val="66"/>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osas on ette nähtud füüsilise isiku olemasolevate kontode hulgast avaldatavate kontode kindlaksmääramiseks vajalikud hoolsusmeetmed. Eristatakse madalama väärtusega kontosid ja kõrgema väärtusega kontosid.</w:t>
      </w:r>
    </w:p>
    <w:p w:rsidR="00010DDB" w:rsidRPr="00E74148" w:rsidRDefault="00010DDB" w:rsidP="00E74148">
      <w:pPr>
        <w:pStyle w:val="Pealkiri3"/>
        <w:keepNext w:val="0"/>
        <w:widowControl w:val="0"/>
        <w:spacing w:after="100" w:afterAutospacing="1"/>
        <w:rPr>
          <w:sz w:val="24"/>
          <w:szCs w:val="24"/>
        </w:rPr>
      </w:pPr>
      <w:bookmarkStart w:id="155" w:name="_Toc420331834"/>
      <w:bookmarkStart w:id="156" w:name="_Toc420331903"/>
      <w:r>
        <w:rPr>
          <w:sz w:val="24"/>
        </w:rPr>
        <w:t>Lõige A – kontod, mida ei pea üle vaatama ega tuvastama ja mille kohta ei pea aruannet esitama</w:t>
      </w:r>
      <w:bookmarkEnd w:id="155"/>
      <w:bookmarkEnd w:id="156"/>
    </w:p>
    <w:p w:rsidR="00010DDB" w:rsidRPr="00E74148" w:rsidRDefault="00F15FDA" w:rsidP="00324DEF">
      <w:pPr>
        <w:pStyle w:val="Num-DocParagraph"/>
        <w:widowControl w:val="0"/>
        <w:numPr>
          <w:ilvl w:val="0"/>
          <w:numId w:val="66"/>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A sätestatakse erand, mille kohaselt ei pea üle vaatama füüsilise isiku olemasolevaid kontosid, mis on rahalise väärtusega kindlustuslepingud või annuiteedilepingud, eeldusel et õigusaktid ennetavad tõhusalt selliste lepingute müüki avaldatava jurisdiktsiooni residentidele aruandekohustuslike finantsasutuste poolt. Õigusaktid ennetavad tõhusalt rahalise väärtusega kindlustuslepingute või annuiteedilepingute müüki avaldatava jurisdiktsiooni residentidele aruandekohustuslike finantsasutuste poolt, kui</w:t>
      </w:r>
    </w:p>
    <w:p w:rsidR="00010DDB" w:rsidRPr="00E74148" w:rsidRDefault="00010DDB" w:rsidP="005C33A2">
      <w:pPr>
        <w:pStyle w:val="Loendinumber"/>
        <w:widowControl w:val="0"/>
        <w:numPr>
          <w:ilvl w:val="0"/>
          <w:numId w:val="13"/>
        </w:numPr>
        <w:spacing w:after="100" w:afterAutospacing="1"/>
        <w:rPr>
          <w:sz w:val="24"/>
          <w:szCs w:val="24"/>
        </w:rPr>
      </w:pPr>
      <w:r>
        <w:rPr>
          <w:sz w:val="24"/>
        </w:rPr>
        <w:t>aruandekohustusliku finantsasutuse jurisdiktsiooni õigusaktid keelavad või muul viisil tõhusalt ennetavad selliste lepingute müüki teise jurisdiktsiooni residentidele või</w:t>
      </w:r>
    </w:p>
    <w:p w:rsidR="00010DDB" w:rsidRPr="00E74148" w:rsidRDefault="00010DDB" w:rsidP="005C33A2">
      <w:pPr>
        <w:pStyle w:val="Loendinumber"/>
        <w:widowControl w:val="0"/>
        <w:numPr>
          <w:ilvl w:val="0"/>
          <w:numId w:val="13"/>
        </w:numPr>
        <w:spacing w:after="100" w:afterAutospacing="1"/>
        <w:rPr>
          <w:sz w:val="24"/>
          <w:szCs w:val="24"/>
        </w:rPr>
      </w:pPr>
      <w:r>
        <w:rPr>
          <w:sz w:val="24"/>
        </w:rPr>
        <w:t>avaldatava jurisdiktsiooni õigusaktid keelavad või muul viisil tõhusalt takistavad aruandekohustuslikel finantsasutustel selliste lepingute müümist avaldatava jurisdiktsiooni residentidele.</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Kui kohaldatav õigus ei keela otseselt aruandekohustuslikel finantsasutustel kindlustus- või annuiteedilepinguid müüa, kuid nõuab, et enne selliste lepingute müümist avaldatava </w:t>
      </w:r>
      <w:r w:rsidR="00010DDB">
        <w:rPr>
          <w:sz w:val="24"/>
        </w:rPr>
        <w:lastRenderedPageBreak/>
        <w:t>jurisdiktsiooni residentidele peavad nad täitma teatud tingimused (näiteks hankima litsentsi ja lepingud registreerima), loetakse, et õigusaktid on tõhusalt takistanud aruandekohustuslikul finantsasutusel, mis ei ole täitnud kohaldatavas õiguses sätestatud tingimusi, müüa selliseid lepinguid avaldatava jurisdiktsiooni residentidele.</w:t>
      </w:r>
    </w:p>
    <w:p w:rsidR="00010DDB" w:rsidRPr="00E74148" w:rsidRDefault="00010DDB" w:rsidP="00E74148">
      <w:pPr>
        <w:pStyle w:val="Pealkiri3"/>
        <w:keepNext w:val="0"/>
        <w:widowControl w:val="0"/>
        <w:spacing w:after="100" w:afterAutospacing="1"/>
        <w:rPr>
          <w:sz w:val="24"/>
          <w:szCs w:val="24"/>
        </w:rPr>
      </w:pPr>
      <w:bookmarkStart w:id="157" w:name="_Toc420331835"/>
      <w:bookmarkStart w:id="158" w:name="_Toc420331904"/>
      <w:r>
        <w:rPr>
          <w:sz w:val="24"/>
        </w:rPr>
        <w:t>Lõige B – hoolsusmeetmed madalama väärtusega kontode jaoks</w:t>
      </w:r>
      <w:bookmarkEnd w:id="157"/>
      <w:bookmarkEnd w:id="158"/>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B on sätestatud menetluseeskirjad, mida kohaldatakse madalama väärtusega kontode suhtes. Need hoolsusmeetmed on elukoha aadressi test ja elektrooniline andmete otsing.</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Ühtse aruandluse standardi rakendamisel võivad jurisdiktsioonid lubada aruandekohustuslikel finantsasutustel kohaldada (i) kas lõike B punktides 2 kuni 6 ette nähtud elukoha aadressi testi või elektroonilist andmete otsingut või (ii) üksnes elektroonilist andmete otsingut. Esimesel juhul võivad jurisdiktsioonid lubada aruandekohustuslikel finantsasutustel valida elukoha aadressi testi kohaldamise kas kõikide madalama väärtusega kontodele või üksnes selgelt määratletud madalama väärtusega kontode grupile (näiteks tegevusala või konto haldamise asukoha alusel).</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riigisisene õigus lubab aruandekohustuslikul finantsasutusel kohaldada elukoha aadressi testi ja aruandekohustuslik finantsasutus otsustabki seda kohaldada, peab aruandekohustuslik finantsasutus kohaldama seda testi iga madalama väärtusega konto suhtes või selgelt määratletud selliste kontode grupi suhtes (nagu on riigisiseses õiguses lubatud). Kui aruandekohustuslik finantsasutus otsustab jätta testi kohaldamata või kui testi üks või mitu tingimust ei ole täidetud, peab ta tegema elektroonilise andmete otsingu madalama väärtusega konto kohta.</w:t>
      </w:r>
    </w:p>
    <w:p w:rsidR="00010DDB" w:rsidRPr="00E74148" w:rsidRDefault="00010DDB" w:rsidP="00E74148">
      <w:pPr>
        <w:pStyle w:val="Pealkiri4"/>
        <w:keepNext w:val="0"/>
        <w:widowControl w:val="0"/>
        <w:spacing w:after="100" w:afterAutospacing="1"/>
        <w:rPr>
          <w:sz w:val="24"/>
          <w:szCs w:val="24"/>
        </w:rPr>
      </w:pPr>
      <w:r>
        <w:rPr>
          <w:sz w:val="24"/>
        </w:rPr>
        <w:t>Lõike B punkt 1 – elukoha aadressi test</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 1 sisaldab elukoha aadressi testi. Selle testi alusel peab aruandekohustuslik finantsasutus kehtestama tegevuskorra ja menetluse, millega kontrollida dokumentaalsetel tõenditel põhinevat elukoha aadressi. Selleks et otsustada, kas füüsilisest isikust kontoomanikku tuleb käsitada avaldatava isikuna, võib aruandekohustuslik finantsasutus lugeda sellist füüsilist isikut selle jurisdiktsiooni, kus elukoht asub, maksuresidendiks, kui</w:t>
      </w:r>
    </w:p>
    <w:p w:rsidR="00010DDB" w:rsidRPr="00E74148" w:rsidRDefault="00010DDB" w:rsidP="005C33A2">
      <w:pPr>
        <w:pStyle w:val="Loendinumber"/>
        <w:widowControl w:val="0"/>
        <w:numPr>
          <w:ilvl w:val="0"/>
          <w:numId w:val="14"/>
        </w:numPr>
        <w:spacing w:after="100" w:afterAutospacing="1"/>
        <w:rPr>
          <w:sz w:val="24"/>
          <w:szCs w:val="24"/>
        </w:rPr>
      </w:pPr>
      <w:r>
        <w:rPr>
          <w:sz w:val="24"/>
        </w:rPr>
        <w:t>aruandekohustuslikul finantsasutusel on füüsilisest isikust kontoomaniku elukoha aadress,</w:t>
      </w:r>
    </w:p>
    <w:p w:rsidR="00010DDB" w:rsidRPr="00E74148" w:rsidRDefault="00010DDB" w:rsidP="005C33A2">
      <w:pPr>
        <w:pStyle w:val="Loendinumber"/>
        <w:widowControl w:val="0"/>
        <w:numPr>
          <w:ilvl w:val="0"/>
          <w:numId w:val="14"/>
        </w:numPr>
        <w:spacing w:after="100" w:afterAutospacing="1"/>
        <w:rPr>
          <w:sz w:val="24"/>
          <w:szCs w:val="24"/>
        </w:rPr>
      </w:pPr>
      <w:r>
        <w:rPr>
          <w:sz w:val="24"/>
        </w:rPr>
        <w:t>aadress on praeguse elukoha aadress, ja</w:t>
      </w:r>
    </w:p>
    <w:p w:rsidR="00010DDB" w:rsidRPr="00E74148" w:rsidRDefault="00010DDB" w:rsidP="005C33A2">
      <w:pPr>
        <w:pStyle w:val="Loendinumber"/>
        <w:widowControl w:val="0"/>
        <w:numPr>
          <w:ilvl w:val="0"/>
          <w:numId w:val="14"/>
        </w:numPr>
        <w:spacing w:after="100" w:afterAutospacing="1"/>
        <w:rPr>
          <w:sz w:val="24"/>
          <w:szCs w:val="24"/>
        </w:rPr>
      </w:pPr>
      <w:r>
        <w:rPr>
          <w:sz w:val="24"/>
        </w:rPr>
        <w:t>elukoha aadress põhineb dokumentaalsetel tõenditel.</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Esimene tingimus on, et aruandekohustuslikul finantsasutusel on toimikus olemas füüsilisest isikust kontoomaniku elukoha aadress (vt I osa kommentaaride punkti 26). Üldiselt ei loeta elukoha aadressiks aadressi, kuhu ajutiselt posti ei viida, või teise isiku aadressi, kust post kätte saadakse, ega postkontori postkasti. Kuid postkontori postkasti loetakse üldjuhul elukoha aadressiks, kui see on osa aadressist koos näiteks tänavanime või korterinumbriga või maakohas oleva elukoha aadressiga, tänu millele on kontoomaniku tegelikku elukohta võimalik selgelt tuvastada. Erandolukorras, näiteks sõjaväelaste puhul, võib elukoha aadressiks lugeda aadressi, kuhu ajutiselt posti ei viida, või teise isiku aadressi, kust post kätte saadakse. Ühtset aruandluse standardit rakendavad jurisdiktsioonid võivad määratleda muid </w:t>
      </w:r>
      <w:r w:rsidR="00010DDB">
        <w:rPr>
          <w:sz w:val="24"/>
        </w:rPr>
        <w:lastRenderedPageBreak/>
        <w:t>erandolukordi, mille puhul kasutatakse aadressi, kuhu ajutiselt posti ei viida, või teise isiku aadressi, kust post kätte saadakse, või postkontori postkasti, mis määravad selgelt kindlaks elukoha aadressi, eeldusel et selliste muude erandolukordade määratlemine ei ole ühtse aruandluse standardiga vastuolus.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Teine tingimus on, et aruandekohustuslikul finantsasutusel on toimikus olemas praeguse elukoha aadress. Loetakse, et aadress on praeguse elukoha aadress, kui see on kõige värskem elukoha aadress, mis on aruandekohustuslikule finantsasutusele füüsilisest isikust kontoomaniku kohta teada. Kuid elukoha aadressi ei loeta praeguse elukoha aadressiks, kui sellele aadressile on saadetud kirju, mis on tagasi tulnud, kuna neid ei olnud võimalik adressaadile kätte toimetada (muul põhjusel kui vea tõttu). Olenemata eeltoodust loetakse mitteaktiivse kontoga seotud elukoha aadressi praeguse elukoha aadressiks ajal, mil konto ei ole aktiivne. Konto (mis ei ole annuiteedileping) on mitteaktiivne konto, kui (i) konto</w:t>
      </w:r>
      <w:r w:rsidR="00394DD4">
        <w:rPr>
          <w:sz w:val="24"/>
        </w:rPr>
        <w:t xml:space="preserve"> </w:t>
      </w:r>
      <w:r w:rsidR="00010DDB">
        <w:rPr>
          <w:sz w:val="24"/>
        </w:rPr>
        <w:t>omanik ei ole viimase kolme aasta jooksul teinud kontol või mis tahes muul oma kontol selles aruandekohustuslikus finantsasutuses ühtegi tehingut, (ii) konto</w:t>
      </w:r>
      <w:r w:rsidR="00394DD4">
        <w:rPr>
          <w:sz w:val="24"/>
        </w:rPr>
        <w:t xml:space="preserve"> </w:t>
      </w:r>
      <w:r w:rsidR="00010DDB">
        <w:rPr>
          <w:sz w:val="24"/>
        </w:rPr>
        <w:t>omanik ei ole viimase kuue aasta jooksul suhelnud tema kontot haldava aruandekohustusliku finantsasutusega selle konto või mis tahes muu tema selles aruandekohustuslikus finantsasutuses oleva konto teemal; ja (iii) rahalise väärtusega kindlustuslepingu korral ei ole aruandekohustuslik finantsasutus viimase kuue aasta jooksul suhelnud kontoomanikuga selle konto või kontoomaniku mis tahes muu selles aruandekohustuslikus finantsasutuses oleva konto teemal. Alternatiivina võib kontot (mis ei ole annuiteedileping) pidada mitteaktiivseks kontoks kohaldatavate seaduste või eeskirjade alusel või aruandekohustusliku finantsasutuse tegevuskorra, mida kohaldatakse järjepidevalt kõikidele kontodele, mida see asutus konkreetses jurisdiktsioonis haldab, alusel, eeldusel et need seadused või eeskirjad või see tegevuskord näevad ette eelmises lauses kirjeldatud tingimustega sisult sarnased tingimused. Konto ei ole enam mitteaktiivne konto, kui (i) konto</w:t>
      </w:r>
      <w:r w:rsidR="00394DD4">
        <w:rPr>
          <w:sz w:val="24"/>
        </w:rPr>
        <w:t xml:space="preserve"> </w:t>
      </w:r>
      <w:r w:rsidR="00010DDB">
        <w:rPr>
          <w:sz w:val="24"/>
        </w:rPr>
        <w:t>omanik teeb kontol või mis tahes muul oma kontol selles aruandekohustuslikus finantsasutuses tehingu; (ii) konto</w:t>
      </w:r>
      <w:r w:rsidR="00394DD4">
        <w:rPr>
          <w:sz w:val="24"/>
        </w:rPr>
        <w:t xml:space="preserve"> </w:t>
      </w:r>
      <w:r w:rsidR="00010DDB">
        <w:rPr>
          <w:sz w:val="24"/>
        </w:rPr>
        <w:t>omanik suhtleb tema kontot haldava aruandekohustusliku finantsasutusega selle konto või tema mis tahes muu selles aruandekohustuslikus finantsasutuses oleva konto teemal; või (iii) seda näevad ette kohaldatavad seadused või eeskirjad või aruandekohustusliku finantsasutuse tavapärane tegevuskord.</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Kolmas tingimus on, et aruandekohustusliku finantsasutuse toimikus olev praeguse elukoha aadress peab põhinema dokumentaalsetel tõenditel (vt VIII osa kommentaaride punkte 150–162). See tingimus on täidetud, kui aruandekohustusliku finantsasutuse tegevuskord ja menetlus tagavad, et asutuse toimikus olev praeguse elukoha aadress on sama aadress või see on samas jurisdiktsioonis, nagu on näha dokumentaalsetest tõenditest (näiteks isikutunnistus, juhiluba, valijakaart või elukohatõend). Kolmas tingimus on täidetud, kui aruandekohustusliku finantsasutuse tegevuskord ja menetlus tagavad, et kui asutusel on riigi väljastatud dokumentaalsed tõendid, kuid nendest ei nähtu värsket elukoha aadressi või üldse mingit aadressi (näiteks teatud passid), on aruandekohustusliku finantsasutuse toimikus sama aadress või see on samas jurisdiktsioonis, nagu on näha volitatud valitsusasutuse või kommunaalettevõtte väljastatud hiljutisest dokumendist või valetunnistuse andmise eest hoiatatud füüsilisest isikust kontoomaniku avaldusest. Volitatud valitsusasutuse väljastatud aktsepteeritav dokument on näiteks maksuameti ametlik teade või hinnang. Kommunaalettevõtte väljastatud aktsepteeritav dokument on seotud konkreetse aadressi varustamisega ja see sisaldab vee-, elektri-, telefoni- (üksnes lauatelefoni), gaasi- või õliarvet. Valetunnistuse andmise eest hoiatatud füüsilisest isikust kontoomaniku avaldus on aktsepteeritav üksnes juhul, kui (i) aruandekohustuslik finantsasutus on olnud kohustatud koguma seda riigisisese õiguse alusel mitu aastat; (ii) see sisaldab kontoomaniku elukoha aadressi; ja (iii) valetunnistuse andmise eest hoiatatud kontoomanik on lisanud sellele kuupäeva ja allkirja. Sellistel asjaoludel kehtivad dokumentaalsetele tõenditele kohaldatavad </w:t>
      </w:r>
      <w:r w:rsidR="00010DDB">
        <w:rPr>
          <w:sz w:val="24"/>
        </w:rPr>
        <w:lastRenderedPageBreak/>
        <w:t>teadmisstandardid ka dokumentidele, millele aruandekohustuslik finantsasutus tugineb (vt VII osa kommentaaride punkte 2–3). Alternatiivina on aruandekohustuslikul finantsasutusel võimalik kolmas tingimus täita, kui asutuse tegevuskord ja menetlus tagavad, et elukoha aadressis sisalduv jurisdiktsioon vastab dokumentaalse tõendi väljastanud riigiasutuse jurisdiktsioonile.</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Võib juhtuda, et mõned kontod avati ajal, mil rahapesu tõkestamise / klienditundmise põhimõte ei kehtinud ja aruandekohustuslik finantsasutus ei vaadanud esialgu üle ühtki dokumentaalset tõendit. Rahapesuvastase töökonna soovitused, mis näevad ette rahapesuvastased rahvusvahelised standardid ja mis sisaldavad usaldusväärse ja sõltumatu allika põhjal kliendi isiku kontrollimise nõuet, anti esimest korda välja 1990. aastal ja vaadati üle aastatel 1996, 2003 ja 2012.</w:t>
      </w:r>
      <w:r w:rsidR="00010DDB">
        <w:rPr>
          <w:rStyle w:val="Allmrkuseviide"/>
          <w:sz w:val="24"/>
        </w:rPr>
        <w:footnoteReference w:id="8"/>
      </w:r>
      <w:r w:rsidR="00010DDB">
        <w:rPr>
          <w:sz w:val="24"/>
        </w:rPr>
        <w:t xml:space="preserve"> Kontodele, mis avati enne nende nõuete kehtestamist ja millele need nõuded ei kehti, kehtib nõue, et kliendiga seotud hoolsusmeetmeid tuleb olemasolevatele klientidele kohaldada olulisuse ja riski põhimõttel. Lisaks on aruandekohustuslikud finantsasutused juba kohustatud tegema avaldatavate kontode, mis on olemasolevad kontod, puhul mõistlikke jõupingutusi ja võtma ühendust oma klientidega, et hankida nende TIN ja sünniaeg (I osa lõigete C ja D alusel). Eeldatakse, et kui kliendiga juba ühendust võetakse, siis küsitakse ka dokumentaalset tõendit. Selle tõttu peaksid kontod, mille kohta puuduvad dokumentaalsed tõendid, olema erandid, madala riskiga ja avatud enne 2004. aastat. Sellisel juhul võib lõike B punktis 1 sisalduva kolmanda nõude lugeda täidetuks ka siis, kui aruandekohustusliku finantsasutuse tegevuskord ja menetlus tagavad, et asutuse toimikus olev praeguse elukoha aadress on samas jurisdiktsioonis (i) kui aadress, mis on kõige värskemal dokumendil, mille aruandekohustuslik finantsasutus on hankinud (näiteks kommunaalarve, kinnisvara üürileping või valetunnistuse andmise eest hoiatatud füüsilisest isikust kontoomaniku avaldus); ja (ii) kui aadress, mille on aruandekohustuslik finantsasutus avaldanud füüsilisest isikust kontoomaniku kohta muude kohaldatavate maksude deklareerimise nõuete alusel (selle olemasolu korral). Rahalise väärtusega kindlustuslepingu puhul võib aruandekohustuslik finantsasutus kolmanda tingimuse alternatiivseks täitmiseks nimetatud asjaoludel tugineda oma toimikus olevale praeguse elukoha aadressile, kuni (i) asjaolude muutumiseni, mille tõttu saab aruandekohustuslik finantsasutus teadlikuks või tal on alust arvata, et see elukoha aadress ei ole õige või usaldusväärne, või (ii) rahalise väärtusega kindlustuslepingu (täieliku või osalise) väljamaksmiseni või tähtaja saabumiseni. Sellise lepingu väljamaksmine või tähtaja saabumine kujutab endast asjaolude muutumist ja sel juhul tuleb rakendada asjakohast menetlust (vt punkti 13 all).</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aruandekohustusliku finantsasutuse tegevuskorra ja menetluse rakendamist lõike B punkti 1 alusel.</w:t>
      </w:r>
    </w:p>
    <w:p w:rsidR="00010DDB" w:rsidRPr="00E74148" w:rsidRDefault="00010DDB" w:rsidP="00E74148">
      <w:pPr>
        <w:pStyle w:val="Loenditpp"/>
        <w:widowControl w:val="0"/>
        <w:spacing w:after="100" w:afterAutospacing="1"/>
        <w:rPr>
          <w:sz w:val="24"/>
          <w:szCs w:val="24"/>
        </w:rPr>
      </w:pPr>
      <w:r>
        <w:rPr>
          <w:sz w:val="24"/>
        </w:rPr>
        <w:t>Näide 1 (isikutunnistus). Aruandekohustuslikust finantsasutusest pank M on kehtestanud tegevuskorra ja menetluse, mille järgi on ta kogunud kõikide füüsiliste isikute, kellel on olemasolevad kontod, isikutunnistuse koopiad, ja mille alusel ta tagab, et nende kontode kohta toimikus olev praeguse elukoha aadress on samas jurisdiktsioonis nagu nende isikutunnistusel näidatud aadress. M võib käsitada selliseid kontoomanikke selle jurisdiktsiooni, kus aadress asub, maksuresidendina.</w:t>
      </w:r>
    </w:p>
    <w:p w:rsidR="00010DDB" w:rsidRPr="00E74148" w:rsidRDefault="00010DDB" w:rsidP="00E74148">
      <w:pPr>
        <w:pStyle w:val="Loenditpp"/>
        <w:widowControl w:val="0"/>
        <w:spacing w:after="100" w:afterAutospacing="1"/>
        <w:rPr>
          <w:sz w:val="24"/>
          <w:szCs w:val="24"/>
        </w:rPr>
      </w:pPr>
      <w:r>
        <w:rPr>
          <w:sz w:val="24"/>
        </w:rPr>
        <w:t xml:space="preserve">Näide 2 (pass ja kommunaalarve). M on kehtestanud konto avamise korra, mille kohaselt tugineb ta kontoomaniku passile, et tõendada kontoomaniku isikut, ja </w:t>
      </w:r>
      <w:r>
        <w:rPr>
          <w:sz w:val="24"/>
        </w:rPr>
        <w:lastRenderedPageBreak/>
        <w:t>viimastele kommunaalarvetele, et kontrollida kontoomaniku elukoha aadressi, mis on salvestatud M-i süsteemis. M võib füüsilisest isikust olemasoleva konto omanikku käsitada oma süsteemis salvestatud jurisdiktsiooni maksuresidendina.</w:t>
      </w:r>
    </w:p>
    <w:p w:rsidR="00010DDB" w:rsidRPr="00E74148" w:rsidRDefault="00010DDB" w:rsidP="00E74148">
      <w:pPr>
        <w:pStyle w:val="Loenditpp"/>
        <w:widowControl w:val="0"/>
        <w:spacing w:after="100" w:afterAutospacing="1"/>
        <w:rPr>
          <w:sz w:val="24"/>
          <w:szCs w:val="24"/>
        </w:rPr>
      </w:pPr>
      <w:r>
        <w:rPr>
          <w:sz w:val="24"/>
        </w:rPr>
        <w:t>Näide 3 (kommunaalarve koos aruandluse kohustusega). Aruandekohustuslikust finantsasutusest pangas H on enne 1990. aastat avatud mitu kontot, millele ei kohaldata rahapesu tõkestamise / klienditundmise põhimõtet ning mille kohta ei ole olulisuse ja riski eeskirjad nõudnud kontode ümbervormistamist. H-i toimikus on nende kontode kohta elukoha aadress, mida kinnitavad ka konto avamisel kogutud kommunaalarved. See aadress on sama aadress, mida H peab korrapäraselt nende kontode kohta avaldama oma maksuaruandluse kohustuste, mis ei tulene CRS-ist, alusel. Kuna H-i toimikus ei ole nende kontodega seotud dokumentaalseid tõendeid ja H ei pea neid rahapesu tõkestamise / klienditundmise põhimõtte alusel koguma ning H-i toimikus olev praeguse elukoha aadress on sama mis kõige värskemal H-i kogutud dokumendil ja maksuaruandluse kohustuste, mis ei tulene CRS-ist, alusel H-i avaldatud aadress, võib H käsitada kontoomanikke selle jurisdiktsiooni, kus aadress asub, maksuresidendina.</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aruandekohustuslik finantsasutus on tuginenud lõike B punktis 1 kirjeldatud elukoha aadressi testile ja asjaolud muutuvad (vt punkti 17 allpool), mille tõttu saab aruandekohustuslik finantsasutus teadlikuks või tal on alust arvata, et dokumentaalsed originaaltõendid (või muud üleval punktis 10 kirjeldatud dokumendid) ei ole õiged või usaldusväärsed, peab aruandekohustuslik finantsasutus kas asjakohase kalendriaasta või muu asjakohase aruandlusperioodi viimasel päeval, kumb tahes on hilisem, või 90 päeva jooksul pärast asjaolude muutumise kohta teate saamist või selle avastamist hankima kinnituse ja uued dokumentaalsed tõendid, et teha kindlaks kontoomaniku maksuresidentsus(ed). Kui aruandekohustuslik finantsasutus ei suuda kinnitust ega uusi dokumentaalseid tõendeid nimetatud kuupäevaks hankida, peab aruandekohustuslik finantsasutus kasutama lõike B punktides 2 kuni 6 kirjeldatud elektroonilist andmete otsingut. Allolev näide illustreerib menetlust, mida tuleb asjaolude muutumise korral järgida.</w:t>
      </w:r>
    </w:p>
    <w:p w:rsidR="00010DDB" w:rsidRPr="00E74148" w:rsidRDefault="00010DDB" w:rsidP="005C33A2">
      <w:pPr>
        <w:pStyle w:val="Num-DocParagraph"/>
        <w:widowControl w:val="0"/>
        <w:numPr>
          <w:ilvl w:val="0"/>
          <w:numId w:val="15"/>
        </w:numPr>
        <w:tabs>
          <w:tab w:val="clear" w:pos="850"/>
        </w:tabs>
        <w:spacing w:after="100" w:afterAutospacing="1"/>
        <w:rPr>
          <w:sz w:val="24"/>
          <w:szCs w:val="24"/>
        </w:rPr>
      </w:pPr>
      <w:r>
        <w:rPr>
          <w:sz w:val="24"/>
        </w:rPr>
        <w:t>Näide 1. Aruandekohustuslikust finantsasutusest pank I on tuginenud elukoha aadressi testile, et käsitada füüsilisest isikust kontoomanikku P-d avaldatava jurisdiktsiooni X residendina. Viis aastat hiljem teatab P, et ta on kolinud jurisdiktsiooni Y, mis on samuti avaldatav jurisdiktsioon, ja annab oma uue aadressi. I hangib P-lt kinnituse ja uued dokumentaalsed tõendid, mis kinnitavad, et P on jurisdiktsiooni Y maksuresident. I peab käsitama P-d avaldatava jurisdiktsiooni Y residendina.</w:t>
      </w:r>
    </w:p>
    <w:p w:rsidR="00010DDB" w:rsidRPr="00E74148" w:rsidRDefault="00010DDB" w:rsidP="005C33A2">
      <w:pPr>
        <w:pStyle w:val="Num-DocParagraph"/>
        <w:widowControl w:val="0"/>
        <w:numPr>
          <w:ilvl w:val="0"/>
          <w:numId w:val="15"/>
        </w:numPr>
        <w:tabs>
          <w:tab w:val="clear" w:pos="850"/>
        </w:tabs>
        <w:spacing w:after="100" w:afterAutospacing="1"/>
        <w:rPr>
          <w:sz w:val="24"/>
          <w:szCs w:val="24"/>
        </w:rPr>
      </w:pPr>
      <w:r>
        <w:rPr>
          <w:sz w:val="24"/>
        </w:rPr>
        <w:t>Näide 2. Asjaolud on samad nagu esimeses näites, aga I ei hangi P-lt kinnitust. I peab rakendama lõike B punktides 2 kuni 6 kirjeldatud elektroonilist andmete otsingut ja selle tõttu käsitama P-d vähemalt jurisdiktsiooni Y residendina (kontoomaniku esitatud uue aadressi alusel).</w:t>
      </w:r>
    </w:p>
    <w:p w:rsidR="00010DDB" w:rsidRPr="00E74148" w:rsidRDefault="00010DDB" w:rsidP="00E74148">
      <w:pPr>
        <w:pStyle w:val="Pealkiri4"/>
        <w:keepNext w:val="0"/>
        <w:widowControl w:val="0"/>
        <w:spacing w:after="100" w:afterAutospacing="1"/>
        <w:rPr>
          <w:sz w:val="24"/>
          <w:szCs w:val="24"/>
        </w:rPr>
      </w:pPr>
      <w:r>
        <w:rPr>
          <w:sz w:val="24"/>
        </w:rPr>
        <w:t>Lõike B punktid 2 kuni 6 – elektrooniline andmete otsing</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punktides 2 kuni 6 kirjeldatakse elektroonilist andmete otsingut. Selle menetluse alusel peab aruandekohustuslik finantsasutus vaatama üle enda hallatavad ja elektroonilist otsingut võimaldavad andmed, et leida lõike B punktis 2 kirjeldatud tunnuseid.</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b/>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Lõike B punktist 3 nähtub selgelt, et kui elektroonilise otsingu käigus ei leita ühtegi lõike B punktis 2 loetletud tunnust, siis edasised toimingud ei ole vajalikud seni, kuni ei muutu kontoga seotud asjaolud, mille tulemusena seostatakse kontoga üht või mitut tunnust, </w:t>
      </w:r>
      <w:r w:rsidR="00010DDB">
        <w:rPr>
          <w:sz w:val="24"/>
        </w:rPr>
        <w:lastRenderedPageBreak/>
        <w:t>või konto muutub kõrgema väärtusega kontoks.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elektroonilise otsingu käigus leitakse mõni lõike B punkti 2 alapunktides a kuni e loetletud tunnus või toimub kontoga seotud asjaoludes muutus, mille tulemusena seostatakse kontoga üht või mitut tunnust, siis lõike B punkti 4 kohaselt on aruandekohustuslik finantsasutus kohustatud käsitama kontoomanikku iga avaldatava jurisdiktsiooni maksuresidendina, millele viitav tunnus on leitud, välja arvatud juhul, kui ta valib lõike B punkti 6 kohaldamise ja üks selle punkti eranditest on kohaldatav sellele kontole. Kuid asjaolude muutumise korral võib aruandekohustuslik finantsasutus käsitada isikut staatuses, mis tal oli enne asjaolude muutumist, kuni asjakohase kalendriaasta või muu asjakohase aruandlusperioodi viimase päevani, kumb tahes on hilisem, või kuni 90 kalendripäeva möödumiseni päevast, mil asjaolude muutumise tõttu tunnus leiti.</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Asjaolude muutumine tähendab mis tahes muutust, mille tulemusena lisandub isiku staatusega seotud teavet või mis läheb isiku staatusega muul viisil vastuollu. Lisaks tähendab asjaolude muutumine mis tahes muutust või teabe lisandumist kontoomaniku konto kohta (sealhulgas kontoomaniku lisandumine või asendamine või muu sellega seotud muutus) või mis tahes muutust või teabe lisandumist sellise kontoga seostatud konto kohta (kohaldades VII osa lõike C punktides 1 kuni 3 kirjeldatud konto liitmise eeskirju), kui selline muutus või teabe lisandumine mõjutab kontoomaniku staatust.</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Olenemata asjaolust, et lõike B punktis 2 kirjeldatud tunnused peaksid piirama juhtumeid, mil elektroonilise otsingu käigus leitakse erinevatele avaldatavatele jurisdiktsioonidele viitavaid tunnuseid, võib praktikas selliseid juhtumeid siiski ette tulla. Mõnel juhul võib esineda ekslik viide elukohale avaldatavas jurisdiktsioonis. Mõnel juhul aga võib kontoomanik olla mitme jurisdiktsiooni resident. Aruandekohustuslikud finantsasutused võtavad tihti oma klientidega ühendust, et selliseid juhtumeid lahendada (kohaldades lõike B punktis 6 kirjeldatud parandusmenetlust) ja teavitada neid, et kui vastuolulisi tunnuseid ei ole võimalik parandada, võidakse teavet vahetada kahe või enama jurisdiktsiooniga. Selline tegevus tuleneb tihtipeale juba kliendisuhetest ja klientide kohta käiva teabega hoolikalt ümberkäimise vajadusest. Sama kehtib ka füüsilise isiku olemasolevate kontode, mis on kõrgema väärtusega kontod, puhul kohaldatavate hoolsusmeetmete puhul. Kui aga kontoomanikku käsitatakse ikkagi mitme jurisdiktsiooni residendina, siis eeldatakse, et pädevad asutused vahetavad kõikide residendijurisdiktsioonide kohta teavet iga asjaomase jurisdiktsiooniga. See võimaldab asjaomasel pädeval asutusel lahendada residentsust puudutavaid küsimusi.</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punktis 5 on sätestatud erimenetlus juhuks, kui elektroonilise andmete otsinguga avastatakse aadress, kuhu ajutiselt posti ei viida, või teise isiku aadress, kust post kätte saadakse, ning ühtki teist lõike B punkti 2 alapunktides a kuni e loetletud tunnust ega ühtki teist aadressi (nende tunnuste raames) kontoomaniku puhul ei leita.</w:t>
      </w:r>
    </w:p>
    <w:p w:rsidR="00010DDB" w:rsidRPr="00E74148" w:rsidRDefault="00010DDB" w:rsidP="00E74148">
      <w:pPr>
        <w:pStyle w:val="Pealkiri5"/>
        <w:widowControl w:val="0"/>
        <w:spacing w:after="100" w:afterAutospacing="1"/>
        <w:rPr>
          <w:sz w:val="24"/>
          <w:szCs w:val="24"/>
        </w:rPr>
      </w:pPr>
      <w:r>
        <w:rPr>
          <w:sz w:val="24"/>
        </w:rPr>
        <w:t>Lõike B punkt 2 – tunnused</w:t>
      </w:r>
    </w:p>
    <w:p w:rsidR="00010DDB"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Pr="00D76886">
        <w:rPr>
          <w:sz w:val="24"/>
          <w:szCs w:val="24"/>
        </w:rPr>
        <w:fldChar w:fldCharType="begin"/>
      </w:r>
      <w:r w:rsidR="00D76886" w:rsidRPr="00D76886">
        <w:rPr>
          <w:sz w:val="24"/>
          <w:szCs w:val="24"/>
        </w:rPr>
        <w:instrText>MACROBUTTON NUMBERING</w:instrText>
      </w:r>
      <w:r w:rsidRPr="00D76886">
        <w:rPr>
          <w:sz w:val="24"/>
          <w:szCs w:val="24"/>
        </w:rPr>
        <w:fldChar w:fldCharType="end"/>
      </w:r>
      <w:r w:rsidR="00010DDB" w:rsidRPr="00D76886">
        <w:rPr>
          <w:sz w:val="24"/>
        </w:rPr>
        <w:t>Lõike B punktis 2 on sätestatud tegelik elektrooniline andmete otsing. Selle menetluse alusel peab aruandekohustuslik finantsasutus vaatama üle enda hallatavad ja elektroonilist otsingut võimaldavad andmed, et leida alljärgnevaid tunnuseid (vt I osa kommentaaride punkti 34) ning kohaldama lõike B punkte 3 kuni 6:</w:t>
      </w:r>
    </w:p>
    <w:p w:rsidR="00010DDB" w:rsidRPr="00E74148" w:rsidRDefault="00010DDB" w:rsidP="005C33A2">
      <w:pPr>
        <w:pStyle w:val="Loendinumber"/>
        <w:widowControl w:val="0"/>
        <w:numPr>
          <w:ilvl w:val="0"/>
          <w:numId w:val="16"/>
        </w:numPr>
        <w:spacing w:after="100" w:afterAutospacing="1"/>
        <w:rPr>
          <w:sz w:val="24"/>
          <w:szCs w:val="24"/>
        </w:rPr>
      </w:pPr>
      <w:r>
        <w:rPr>
          <w:sz w:val="24"/>
        </w:rPr>
        <w:t>kontoomaniku tuvastamine avaldatava jurisdiktsiooni residendina;</w:t>
      </w:r>
    </w:p>
    <w:p w:rsidR="00010DDB" w:rsidRPr="00E74148" w:rsidRDefault="00010DDB" w:rsidP="005C33A2">
      <w:pPr>
        <w:pStyle w:val="Loendinumber"/>
        <w:widowControl w:val="0"/>
        <w:numPr>
          <w:ilvl w:val="0"/>
          <w:numId w:val="16"/>
        </w:numPr>
        <w:spacing w:after="100" w:afterAutospacing="1"/>
        <w:rPr>
          <w:sz w:val="24"/>
          <w:szCs w:val="24"/>
        </w:rPr>
      </w:pPr>
      <w:r>
        <w:rPr>
          <w:sz w:val="24"/>
        </w:rPr>
        <w:t xml:space="preserve">praegune avaldatavas jurisdiktsioonis asuv postiaadress või elukoha aadress </w:t>
      </w:r>
      <w:r>
        <w:rPr>
          <w:sz w:val="24"/>
        </w:rPr>
        <w:lastRenderedPageBreak/>
        <w:t>(sealhulgas postkontori postkast);</w:t>
      </w:r>
    </w:p>
    <w:p w:rsidR="00010DDB" w:rsidRPr="00E74148" w:rsidRDefault="00010DDB" w:rsidP="005C33A2">
      <w:pPr>
        <w:pStyle w:val="Loendinumber"/>
        <w:widowControl w:val="0"/>
        <w:numPr>
          <w:ilvl w:val="0"/>
          <w:numId w:val="16"/>
        </w:numPr>
        <w:spacing w:after="100" w:afterAutospacing="1"/>
        <w:rPr>
          <w:sz w:val="24"/>
          <w:szCs w:val="24"/>
        </w:rPr>
      </w:pPr>
      <w:r>
        <w:rPr>
          <w:sz w:val="24"/>
        </w:rPr>
        <w:t>üks või mitu praegust avaldatava jurisdiktsiooni telefoninumbrit või telefoninumbri puudumine aruandekohustusliku finantsasutuse jurisdiktsioonis;</w:t>
      </w:r>
    </w:p>
    <w:p w:rsidR="00010DDB" w:rsidRPr="00E74148" w:rsidRDefault="00010DDB" w:rsidP="005C33A2">
      <w:pPr>
        <w:pStyle w:val="Loendinumber"/>
        <w:widowControl w:val="0"/>
        <w:numPr>
          <w:ilvl w:val="0"/>
          <w:numId w:val="16"/>
        </w:numPr>
        <w:spacing w:after="100" w:afterAutospacing="1"/>
        <w:rPr>
          <w:sz w:val="24"/>
          <w:szCs w:val="24"/>
        </w:rPr>
      </w:pPr>
      <w:r>
        <w:rPr>
          <w:sz w:val="24"/>
        </w:rPr>
        <w:t>kehtivad juhised kanda raha üle avaldatavas jurisdiktsioonis peetavale kontole (välja arvatud hoiusekonto);</w:t>
      </w:r>
    </w:p>
    <w:p w:rsidR="00010DDB" w:rsidRPr="00E74148" w:rsidRDefault="00010DDB" w:rsidP="005C33A2">
      <w:pPr>
        <w:pStyle w:val="Loendinumber"/>
        <w:widowControl w:val="0"/>
        <w:numPr>
          <w:ilvl w:val="0"/>
          <w:numId w:val="16"/>
        </w:numPr>
        <w:spacing w:after="100" w:afterAutospacing="1"/>
        <w:rPr>
          <w:sz w:val="24"/>
          <w:szCs w:val="24"/>
        </w:rPr>
      </w:pPr>
      <w:r>
        <w:rPr>
          <w:sz w:val="24"/>
        </w:rPr>
        <w:t>kehtiv volitus või allkirjaõigus, mis on antud avaldatavas jurisdiktsioonis asuva aadressiga isikule; või</w:t>
      </w:r>
    </w:p>
    <w:p w:rsidR="00D76886" w:rsidRPr="00D76886" w:rsidRDefault="00010DDB" w:rsidP="00D76886">
      <w:pPr>
        <w:pStyle w:val="Loendinumber"/>
        <w:widowControl w:val="0"/>
        <w:numPr>
          <w:ilvl w:val="0"/>
          <w:numId w:val="16"/>
        </w:numPr>
        <w:spacing w:after="100" w:afterAutospacing="1"/>
        <w:rPr>
          <w:sz w:val="24"/>
          <w:szCs w:val="24"/>
        </w:rPr>
      </w:pPr>
      <w:r w:rsidRPr="00D76886">
        <w:rPr>
          <w:sz w:val="24"/>
        </w:rPr>
        <w:t>avaldatavas jurisdiktsioonis asuv aadress, kuhu ajutiselt posti ei viida, või teise isiku aadress, kust post kätte saadakse, on ainus aadress, mis on aruandekohustusliku finantsasutuse toimikus kontoomaniku kohta olemas.</w:t>
      </w:r>
      <w:r w:rsidR="00F15FDA" w:rsidRPr="00D76886">
        <w:rPr>
          <w:sz w:val="24"/>
          <w:szCs w:val="24"/>
        </w:rPr>
        <w:fldChar w:fldCharType="begin"/>
      </w:r>
      <w:r w:rsidRPr="00D76886">
        <w:rPr>
          <w:sz w:val="24"/>
          <w:szCs w:val="24"/>
        </w:rPr>
        <w:instrText>MACROBUTTON NUMBERING</w:instrText>
      </w:r>
      <w:r w:rsidR="00F15FDA" w:rsidRPr="00D76886">
        <w:rPr>
          <w:sz w:val="24"/>
          <w:szCs w:val="24"/>
        </w:rPr>
        <w:fldChar w:fldCharType="end"/>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D76886" w:rsidRPr="00D76886">
        <w:rPr>
          <w:sz w:val="24"/>
          <w:szCs w:val="24"/>
        </w:rPr>
        <w:instrText>MACROBUTTON NUMBERING</w:instrText>
      </w:r>
      <w:r w:rsidRPr="00D76886">
        <w:rPr>
          <w:sz w:val="24"/>
          <w:szCs w:val="24"/>
        </w:rPr>
        <w:fldChar w:fldCharType="end"/>
      </w:r>
      <w:r w:rsidRPr="00D76886">
        <w:rPr>
          <w:sz w:val="24"/>
          <w:szCs w:val="24"/>
        </w:rPr>
        <w:fldChar w:fldCharType="begin"/>
      </w:r>
      <w:r w:rsidR="00D76886" w:rsidRPr="00D76886">
        <w:rPr>
          <w:sz w:val="24"/>
          <w:szCs w:val="24"/>
        </w:rPr>
        <w:instrText>MACROBUTTON NUMBERING</w:instrText>
      </w:r>
      <w:r w:rsidRPr="00D76886">
        <w:rPr>
          <w:sz w:val="24"/>
          <w:szCs w:val="24"/>
        </w:rPr>
        <w:fldChar w:fldCharType="end"/>
      </w:r>
      <w:r w:rsidR="00010DDB" w:rsidRPr="00D76886">
        <w:rPr>
          <w:sz w:val="24"/>
        </w:rPr>
        <w:t>Lõike B punkti 2 alapunktis a sisalduva tunnuse alusel tuvastatakse kontoomanik avaldatava jurisdiktsiooni residendina. See tunnus esineb siis, kui aruandekohustusliku finantsasutuse elektroonilist otsingut võimaldavates andmetes on kontoomanik määratletud avaldatava jurisdiktsiooni maksuresidendina.</w:t>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Lõike B punkti 2 alapunktis b sisalduv tunnus on praegune avaldatavas jurisdiktsioonis asuv postiaadress või elukoha aadress (sealhulgas postkontori postkast). Loetakse, et aadress on praegune postiaadress või praegune elukoha aadress, kui see on kõige värskem postiaadress või elukoha aadress, mis on aruandekohustuslikule finantsasutusele füüsilisest isikust kontoomaniku kohta teada. Mitteaktiivse kontoga (vt punkti 9 eespool) seotud posti- või elukoha aadressi loetakse praeguseks posti- või elukoha aadressiks ajal, mil konto ei ole aktiivne. Kui aruandekohustusliku finantsasutuse toimikus on kontoomaniku kohta kaks või enam posti- või elukoha aadressi ja üks aadressidest on kontoomaniku teenusepakkuja (näiteks asutuseväline varahaldur, investeerimisnõustaja või advokaat) aadress, ei pea aruandekohustuslik finantsasutus käsitama teenusepakkuja aadressi kontoomaniku elukohale viitava tunnusena.</w:t>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Lõike B punkti 2 alapunktis c sisalduv tunnus on üks või mitu praegust avaldatava jurisdiktsiooni telefoninumbrit või telefoninumbri puudumine aruandekohustusliku finantsasutuse jurisdiktsioonis. Avaldatava jurisdiktsiooni telefoninumbrit tuleb käsitada kontoomaniku elukohale viitava tunnusena vaid juhul, kui see on praegune avaldatava jurisdiktsiooni telefoninumber. Loetakse, et telefoninumber on praegune telefoninumber, kui see on kõige värskem telefoninumber, mis on aruandekohustuslikule finantsasutusele füüsilisest isikust kontoomaniku kohta teada. Kui aruandekohustusliku finantsasutuse toimikus on kontoomaniku kohta kaks või enam telefoninumbrit ja üks telefoninumbritest on kontoomaniku teenusepakkuja (näiteks asutuseväline varahaldur, investeerimisnõustaja või advokaat) telefoninumber, ei pea aruandekohustuslik finantsasutus käsitama teenusepakkuja telefoninumbrit kontoomaniku elukohale viitava tunnusena.</w:t>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Lõike B punkti 2 alapunktis c sisalduv tunnus on kehtivad juhised kanda raha üle avaldatavas jurisdiktsioonis peetavale kontole (välja arvatud hoiusekonto). Mõiste „kehtivad juhised kanda raha üle” tähendab kontoomaniku või kontoomaniku esindaja antud kehtivaid makse tegemise juhiseid, mis korduvad, ilma et kontoomanik peaks andma lisajuhiseid. Selle tõttu ei ole ühe makse tegemiseks antud juhised kehtivad juhised kanda raha üle, isegi kui juhised on antud üks aasta varem. Kuid juhised teha makseid määramata aja jooksul on kehtivad juhised kanda raha üle sellel ajavahemikul, mil need juhised on jõus, isegi kui neid juhiseid pärast ühe makse tegemist muudetakse.</w:t>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 xml:space="preserve">Järgnev näide illustreerib lõike B punkti 2 alapunkti d kohaldamist. Füüsilisel isikul K-l on hoidmiskonto hoiupangas E, mis on avaldatava jurisdiktsiooni R resident. K-l on ka </w:t>
      </w:r>
      <w:r w:rsidR="00010DDB" w:rsidRPr="00D76886">
        <w:rPr>
          <w:sz w:val="24"/>
        </w:rPr>
        <w:lastRenderedPageBreak/>
        <w:t>hoiusekonto kommertspangas F, mis on avaldatava jurisdiktsiooni S resident. K on andnud E-le kehtivad juhised kanda hoiusekontole üle kogu hoidmiskontol olevatest väärtpaberitest saadav tulu. Kuna kehtivad juhised on seotud hoidmiskontoga ja vahendid tuleb kanda üle avaldatavas jurisdiktsioonis olevale kontole, on need kehtivad juhised avaldatavas jurisdiktsioonis S olevale elukohale viitav tunnus.</w:t>
      </w:r>
    </w:p>
    <w:p w:rsidR="00010DDB"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Lõike B punkti 2 alapunktis f sisalduvad tunnused hõlmavad avaldatavas jurisdiktsioonis asuvat aadressi, kuhu ajutiselt posti ei viida, või teise isiku aadressi, kust post kätte saadakse, mis on ainus aadress, mis on aruandekohustusliku finantsasutuse toimikus kontoomaniku kohta olemas. Juhised aadressi kohta, kuhu ajutiselt posti ei viida, on kontoomaniku või kontoomaniku esindaja kehtivad juhised kontoomaniku posti mitte edastada kuni juhiste muutmiseni. Kui sellised juhised on antud ja aruandekohustusliku finantsasutuse toimikus ei ole kontoomaniku kohta muud aadressi, on tunnus olemas. Juhis saata kõik kirjad elektrooniliselt ei ole juhis aadressi kohta, kuhu ajutiselt posti ei viida. Kui aruandekohustusliku finantsasutuse toimikus on avaldatavas jurisdiktsioonis asuv teise isiku aadress, kust post kätte saadakse, ja kontoomaniku kohta muud aadressi ei ole, on tunnus samuti olemas.</w:t>
      </w:r>
    </w:p>
    <w:p w:rsidR="00010DDB" w:rsidRPr="00E74148" w:rsidRDefault="00010DDB" w:rsidP="00E74148">
      <w:pPr>
        <w:pStyle w:val="Pealkiri5"/>
        <w:widowControl w:val="0"/>
        <w:spacing w:after="100" w:afterAutospacing="1"/>
        <w:rPr>
          <w:sz w:val="24"/>
          <w:szCs w:val="24"/>
        </w:rPr>
      </w:pPr>
      <w:r>
        <w:rPr>
          <w:sz w:val="24"/>
        </w:rPr>
        <w:t>Lõike B punkt 5 – erimenetlus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punktis 5 on sätestatud erimenetlus juhuks, kui elektroonilise andmete otsinguga avastatakse aadress, kuhu ajutiselt posti ei viida, või teise isiku aadress, kust post kätte saadakse, ning ühtki teist lõike B punkti 2 alapunktides a kuni e loetletud tunnust ega ühtki teist aadressi (nende tunnuste raames) kontoomaniku puhul ei leita.</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erimenetlus on kohaldatav, peab aruandekohustuslik finantsasutus asjaoludele kõige paremini vastaval viisil viima läbi käesoleva osa lõike C punktis 2 kirjeldatud paberil olevate andmete otsingu või püüdma hankida kontoomanikult kinnitust või dokumentaalseid tõendeid kontoomaniku maksuresidentsus(t)e kohta. Kui paberil olevate andmete otsing ega katse hankida kontoomanikult kinnitust või dokumentaalseid tõendeid ei anna tulemusi, peab aruandekohustuslik finantsasutus näitama seda kontot aruandluses kui dokumenteerimata kontot.</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aruandekohustuslik finantsasutus otsustab, et madalama väärtusega konto on dokumenteerimata konto, ei pea aruandekohustuslik finantsasutus kohaldama lõike B punktis 5 ette nähtud menetlust uuesti sama madalama väärtusega konto suhtes ühelgi järgneval aastal, kuni muutuvad asjaolud, mille tulemusena seostatakse kontoga üht või mitut tunnust, või konto muutub kõrgema väärtusega kontoks. Kuid aruandekohustuslik finantsasutus peab aruandluses näitama madalama väärtusega kontot kui dokumenteerimata kontot, kuni see konto ei ole enam dokumenteerimata.</w:t>
      </w:r>
    </w:p>
    <w:p w:rsidR="00010DDB" w:rsidRPr="00E74148" w:rsidRDefault="00010DDB" w:rsidP="00E74148">
      <w:pPr>
        <w:pStyle w:val="Pealkiri5"/>
        <w:widowControl w:val="0"/>
        <w:spacing w:after="100" w:afterAutospacing="1"/>
        <w:rPr>
          <w:sz w:val="24"/>
          <w:szCs w:val="24"/>
        </w:rPr>
      </w:pPr>
      <w:r>
        <w:rPr>
          <w:sz w:val="24"/>
        </w:rPr>
        <w:t>Lõike B punkt 6 – parandusmenetlus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punktis 6 on sätestatud menetlus lõike B punkti 2 alusel leitud tunnuse parandamiseks. Aruandekohustuslik finantsasutus ei ole kohustatud käsitama kontoomanikku avaldatava jurisdiktsiooni residendina, kui:</w:t>
      </w:r>
    </w:p>
    <w:p w:rsidR="00010DDB" w:rsidRPr="00E74148" w:rsidRDefault="00010DDB" w:rsidP="005C33A2">
      <w:pPr>
        <w:pStyle w:val="Loendinumber"/>
        <w:widowControl w:val="0"/>
        <w:numPr>
          <w:ilvl w:val="0"/>
          <w:numId w:val="17"/>
        </w:numPr>
        <w:spacing w:after="100" w:afterAutospacing="1"/>
        <w:rPr>
          <w:sz w:val="24"/>
          <w:szCs w:val="24"/>
        </w:rPr>
      </w:pPr>
      <w:r>
        <w:rPr>
          <w:sz w:val="24"/>
        </w:rPr>
        <w:t xml:space="preserve">kontoomaniku kohta käiv teave sisaldab praegust avaldatavas jurisdiktsioonis asuvat posti- või elukoha aadressi või üht või mitut avaldatava jurisdiktsiooni telefoninumbrit (aga mitte ühtki aruandekohustusliku finantsasutuse jurisdiktsiooni telefoninumbrit) või kehtivaid juhiseid (seoses finantskontoga, välja arvatud </w:t>
      </w:r>
      <w:r>
        <w:rPr>
          <w:sz w:val="24"/>
        </w:rPr>
        <w:lastRenderedPageBreak/>
        <w:t>hoiusekonto) kanda raha üle avaldatavas jurisdiktsioonis peetavale kontole, ning aruandekohustuslik finantsasutus hangib või on eelnevalt ülevaatuse käigus tuvastanud ja säilitab järgmisi andmeid:</w:t>
      </w:r>
    </w:p>
    <w:p w:rsidR="00010DDB" w:rsidRPr="00E74148" w:rsidRDefault="00010DDB" w:rsidP="005C33A2">
      <w:pPr>
        <w:pStyle w:val="Loendinumber"/>
        <w:widowControl w:val="0"/>
        <w:numPr>
          <w:ilvl w:val="1"/>
          <w:numId w:val="17"/>
        </w:numPr>
        <w:spacing w:after="100" w:afterAutospacing="1"/>
        <w:rPr>
          <w:sz w:val="24"/>
          <w:szCs w:val="24"/>
        </w:rPr>
      </w:pPr>
      <w:r>
        <w:rPr>
          <w:sz w:val="24"/>
        </w:rPr>
        <w:t>kontoomaniku kinnitust oma residendi</w:t>
      </w:r>
      <w:r w:rsidR="00A85DB1">
        <w:rPr>
          <w:sz w:val="24"/>
        </w:rPr>
        <w:t xml:space="preserve"> </w:t>
      </w:r>
      <w:r>
        <w:rPr>
          <w:sz w:val="24"/>
        </w:rPr>
        <w:t>jurisdiktsiooni(de) kohta, mille hulka ei kuulu nimetatud avaldatav jurisdiktsioon; ja</w:t>
      </w:r>
    </w:p>
    <w:p w:rsidR="00010DDB" w:rsidRPr="00E74148" w:rsidRDefault="00010DDB" w:rsidP="005C33A2">
      <w:pPr>
        <w:pStyle w:val="Loendinumber"/>
        <w:widowControl w:val="0"/>
        <w:numPr>
          <w:ilvl w:val="1"/>
          <w:numId w:val="17"/>
        </w:numPr>
        <w:spacing w:after="100" w:afterAutospacing="1"/>
        <w:rPr>
          <w:sz w:val="24"/>
          <w:szCs w:val="24"/>
        </w:rPr>
      </w:pPr>
      <w:r>
        <w:rPr>
          <w:sz w:val="24"/>
        </w:rPr>
        <w:t>dokumentaalseid tõendeid, mis kinnitavad kontoomaniku mitte-avaldatavat staatust;</w:t>
      </w:r>
    </w:p>
    <w:p w:rsidR="00010DDB" w:rsidRPr="00E74148" w:rsidRDefault="00010DDB" w:rsidP="005C33A2">
      <w:pPr>
        <w:pStyle w:val="Loendinumber"/>
        <w:widowControl w:val="0"/>
        <w:numPr>
          <w:ilvl w:val="0"/>
          <w:numId w:val="17"/>
        </w:numPr>
        <w:spacing w:after="100" w:afterAutospacing="1"/>
        <w:rPr>
          <w:sz w:val="24"/>
          <w:szCs w:val="24"/>
        </w:rPr>
      </w:pPr>
      <w:r>
        <w:rPr>
          <w:sz w:val="24"/>
        </w:rPr>
        <w:t>kontoomaniku kohta käiv teave sisaldab kehtivat volitust või allkirjaõigust, mis on antud avaldatava jurisdiktsiooni aadressiga isikule, ja aruandekohustuslik finantsasutus hangib või on varem ülevaatuse käigus tuvastanud ja säilitab järgmisi andmeid:</w:t>
      </w:r>
    </w:p>
    <w:p w:rsidR="00010DDB" w:rsidRPr="00E74148" w:rsidRDefault="00010DDB" w:rsidP="005C33A2">
      <w:pPr>
        <w:pStyle w:val="Loendinumber"/>
        <w:widowControl w:val="0"/>
        <w:numPr>
          <w:ilvl w:val="1"/>
          <w:numId w:val="17"/>
        </w:numPr>
        <w:spacing w:after="100" w:afterAutospacing="1"/>
        <w:rPr>
          <w:sz w:val="24"/>
          <w:szCs w:val="24"/>
        </w:rPr>
      </w:pPr>
      <w:r>
        <w:rPr>
          <w:sz w:val="24"/>
        </w:rPr>
        <w:t>kontoomaniku kinnitust oma residendi</w:t>
      </w:r>
      <w:r w:rsidR="00A85DB1">
        <w:rPr>
          <w:sz w:val="24"/>
        </w:rPr>
        <w:t xml:space="preserve"> </w:t>
      </w:r>
      <w:r>
        <w:rPr>
          <w:sz w:val="24"/>
        </w:rPr>
        <w:t>jurisdiktsiooni(de) kohta, mille hulka ei kuulu nimetatud avaldatav jurisdiktsioon; või</w:t>
      </w:r>
    </w:p>
    <w:p w:rsidR="00010DDB" w:rsidRPr="00E74148" w:rsidRDefault="00010DDB" w:rsidP="005C33A2">
      <w:pPr>
        <w:pStyle w:val="Loendinumber"/>
        <w:widowControl w:val="0"/>
        <w:numPr>
          <w:ilvl w:val="1"/>
          <w:numId w:val="17"/>
        </w:numPr>
        <w:spacing w:after="100" w:afterAutospacing="1"/>
        <w:rPr>
          <w:sz w:val="24"/>
          <w:szCs w:val="24"/>
        </w:rPr>
      </w:pPr>
      <w:r>
        <w:rPr>
          <w:sz w:val="24"/>
        </w:rPr>
        <w:t>dokumentaalseid tõendeid, mis kinnitavad kontoomaniku mitte-avaldatavat staatust.</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Varem üle vaadatud kinnitusele või dokumentaalsetele tõenditele võib parandusmenetluse kohaldamiseks tugineda, välja arvatud juhul, kui aruandekohustuslik finantsasutus teab või tal on alust arvata, et kinnitus või dokumentaalsed tõendid ei ole õiged või usaldusväärsed (vt VII osa kommentaaride punkte 2–3).</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Parandusmenetluse osaks olev kinnitus ei pea sisaldama sõnaselget kinnitust, et kontoomanik ei ole avaldatava jurisdiktsiooni resident, eeldusel et kontoomanik kinnitab, et see sisaldab kõiki residendijurisdiktsioone (see tähendab, et teave kontoomaniku residendi</w:t>
      </w:r>
      <w:r w:rsidR="00A85DB1">
        <w:rPr>
          <w:sz w:val="24"/>
        </w:rPr>
        <w:t xml:space="preserve"> </w:t>
      </w:r>
      <w:r w:rsidR="00010DDB">
        <w:rPr>
          <w:sz w:val="24"/>
        </w:rPr>
        <w:t>jurisdiktsiooni(de) kohta on õige ja täielik). Dokumentaalsetest tõenditest piisab, et tõendada kontoomaniku mitte-avaldatavat staatust, kui dokumentaalsed tõendid (i) kinnitavad, et kontoomanik on muu jurisdiktsiooni kui asjaomase avaldatava jurisdiktsiooni resident; (ii) sisaldavad praegust elukoha aadressi, mis ei asu asjaomases avaldatavas jurisdiktsioonis; või (iii) on väljastanud muu jurisdiktsiooni kui asjaomase avaldatava jurisdiktsiooni volitatud valitsusasutus (vt VIII osa kommentaaride punkte 150–162).</w:t>
      </w:r>
    </w:p>
    <w:p w:rsidR="00010DDB" w:rsidRPr="00E74148" w:rsidRDefault="00010DDB" w:rsidP="00E74148">
      <w:pPr>
        <w:pStyle w:val="Pealkiri3"/>
        <w:keepNext w:val="0"/>
        <w:widowControl w:val="0"/>
        <w:spacing w:after="100" w:afterAutospacing="1"/>
        <w:rPr>
          <w:sz w:val="24"/>
          <w:szCs w:val="24"/>
        </w:rPr>
      </w:pPr>
      <w:bookmarkStart w:id="159" w:name="_Toc420331836"/>
      <w:bookmarkStart w:id="160" w:name="_Toc420331905"/>
      <w:r>
        <w:rPr>
          <w:sz w:val="24"/>
        </w:rPr>
        <w:t>Lõige C – hoolsusmeetmed kõrgema väärtusega kontode jaoks</w:t>
      </w:r>
      <w:bookmarkEnd w:id="159"/>
      <w:bookmarkEnd w:id="160"/>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C on sätestatud täiustatud menetluseeskirjad, mida kohaldatakse kõrgema väärtusega kontode suhtes. Need hoolsusmeetmed on elektrooniline andmete otsing, paberil olevate andmete otsing ja kliendihalduri teadmine.</w:t>
      </w:r>
    </w:p>
    <w:p w:rsidR="00010DDB" w:rsidRPr="00E74148" w:rsidRDefault="00010DDB" w:rsidP="00E74148">
      <w:pPr>
        <w:pStyle w:val="Pealkiri4"/>
        <w:keepNext w:val="0"/>
        <w:widowControl w:val="0"/>
        <w:spacing w:after="100" w:afterAutospacing="1"/>
        <w:rPr>
          <w:sz w:val="24"/>
          <w:szCs w:val="24"/>
        </w:rPr>
      </w:pPr>
      <w:r>
        <w:rPr>
          <w:sz w:val="24"/>
        </w:rPr>
        <w:t>Lõike C punkt 1 – elektrooniline andmete otsing</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Elektrooniline andmete otsing on kohustuslik kõikide kõrgema väärtusega kontode puhul. Lõike C punkti 1 kohaselt on aruandekohustuslik finantsasutus kohustatud üle vaatama enda hallatavad ja elektroonilist otsingut võimaldavad andmed, et leida käeoleva osa lõike B punktis 2 kirjeldatud tunnuseid (vt I osa kommentaaride punkti 34).</w:t>
      </w:r>
    </w:p>
    <w:p w:rsidR="00010DDB" w:rsidRPr="00E74148" w:rsidRDefault="00010DDB" w:rsidP="00E74148">
      <w:pPr>
        <w:pStyle w:val="Pealkiri4"/>
        <w:keepNext w:val="0"/>
        <w:widowControl w:val="0"/>
        <w:spacing w:after="100" w:afterAutospacing="1"/>
        <w:rPr>
          <w:sz w:val="24"/>
          <w:szCs w:val="24"/>
        </w:rPr>
      </w:pPr>
      <w:r>
        <w:rPr>
          <w:sz w:val="24"/>
        </w:rPr>
        <w:t>Lõike C punktid 2 ja 3 – paberil olevate andmete otsing</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Kui aruandekohustusliku finantsasutuse elektroonilist otsingut võimaldav andmebaas sisaldab kogu lõike C punktis 3 nimetatud teabe välju ning otsingu käigus kogutakse kogu vastav teave, siis edasine paberil olevate andmete otsing ei ole nõutud. See tähendab, et aruandekohustusliku finantsasutuse elektroonilist otsingut võimaldavates andmebaasides on </w:t>
      </w:r>
      <w:r w:rsidR="00010DDB">
        <w:rPr>
          <w:sz w:val="24"/>
        </w:rPr>
        <w:lastRenderedPageBreak/>
        <w:t>lõike C punktis 3 nimetatud teabe väljad ning elektroonilise otsinguga on võimalik kindlaks teha, kas need väljad sisaldavad teavet. Seega ei ole paberil olevate andmete otsingu erand kohaldatav, kui väli on lihtsalt tühjaks jäetud, välja arvatud juhul, kui aruandekohustusliku finantsasutuse tegevuskorra ja menetluse kohaselt tähendab välja tühjaks jätmine seda, et lõike C punktis 3 nimetatud teavet ei ole aruandekohustusliku finantsasutuse toimikus (näiteks kuna telefoninumbrit ei ole esitatud või volitust ei ole antud).</w:t>
      </w:r>
    </w:p>
    <w:p w:rsidR="00010DDB"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pacing w:val="-4"/>
          <w:sz w:val="24"/>
          <w:szCs w:val="24"/>
        </w:rPr>
      </w:pPr>
      <w:r w:rsidRPr="00D76886">
        <w:rPr>
          <w:spacing w:val="-4"/>
          <w:sz w:val="24"/>
          <w:szCs w:val="24"/>
        </w:rPr>
        <w:fldChar w:fldCharType="begin"/>
      </w:r>
      <w:r w:rsidR="00010DDB" w:rsidRPr="00D76886">
        <w:rPr>
          <w:spacing w:val="-4"/>
          <w:sz w:val="24"/>
          <w:szCs w:val="24"/>
        </w:rPr>
        <w:instrText>MACROBUTTON NUMBERING</w:instrText>
      </w:r>
      <w:r w:rsidRPr="00D76886">
        <w:rPr>
          <w:spacing w:val="-4"/>
          <w:sz w:val="24"/>
          <w:szCs w:val="24"/>
        </w:rPr>
        <w:fldChar w:fldCharType="end"/>
      </w:r>
      <w:r w:rsidR="00010DDB" w:rsidRPr="00D76886">
        <w:rPr>
          <w:spacing w:val="-4"/>
          <w:sz w:val="24"/>
        </w:rPr>
        <w:t>Aruandekohustuslik finantsasutus ei ole kohustatud tegema lõike C punktis 2 kirjeldatud paberil olevate andmete otsingut niivõrd, kuivõrd aruandekohustusliku finantsasutuse elektroonilist otsingut võimaldavad andmed sisaldavad lõike C punktis 3 nimetatud teavet. Seega, kui aruandekohustusliku finantsasutuse elektroonilist otsingut võimaldavad andmed ei sisalda lõike C punktis 3 nimetatud kogu teavet, siis on aruandekohustuslik finantsasutus kohustatud tegema paberil olevate andmete otsingu üksnes selle lõike C punktis 3 nimetatud teabe kohta, mis ei sisaldu elektroonilist otsingut võimaldavates andmetes. Näiteks kui aruandekohustusliku finantsasutuse elektroonilist otsingut võimaldav andmebaas sisaldab lõike C punktis 3 nimetatud kogu teavet, välja arvatud lõike C punkti 3 alapunktis d nimetatud teavet (s.t kehtiv korraldus kontol oleva raha ülekandmiseks), peab aruandekohustuslik finantsasutus tegema paberil olevate andmete otsingu üksnes lõike C punkti 3 alapunktis d nimetatud teabe kohta. Sarnaselt eelnevaga, kui aruandekohustusliku finantsasutuse elektroonilist otsingut võimaldav andmebaas ei sisalda lõike C punktis 3 nimetatud kogu teavet selgelt määratletud kõrgema väärtusega kontode grupi kohta, peab aruandekohustuslik finantsasutus tegema paberil olevate andmete otsingu üksnes sellise kontode grupi puhul ja piirama otsingut lõike C punktis 3 nimetatud teabega, mis ei sisaldu elektroonilist otsingut võimaldavates andmetes.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aruandekohustuslik finantsasutus on kohustatud tegema paberil olevate andmete otsingu seoses kõrgema väärtusega kontodega, peab aruandekohustuslik finantsasutus lõike B punktis 2 kirjeldatud tunnuste leidmiseks üle vaatama ka kliendi põhitoimiku ja viimase viie aasta jooksul hangitud kontoga seostatavad dokumendid, mis on loetletud lõike C punktis 2, juhul kui neid dokumente põhitoimikus ei ole.</w:t>
      </w:r>
    </w:p>
    <w:p w:rsidR="00010DDB" w:rsidRPr="00E74148" w:rsidRDefault="00010DDB" w:rsidP="00E74148">
      <w:pPr>
        <w:pStyle w:val="Pealkiri4"/>
        <w:keepNext w:val="0"/>
        <w:widowControl w:val="0"/>
        <w:spacing w:after="100" w:afterAutospacing="1"/>
        <w:rPr>
          <w:sz w:val="24"/>
          <w:szCs w:val="24"/>
        </w:rPr>
      </w:pPr>
      <w:r>
        <w:rPr>
          <w:sz w:val="24"/>
        </w:rPr>
        <w:t>Lõike C punkt 4 – kliendihalduri teadmine</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Lisaks elektroonilisele ja paberil olevate andmete otsingule on vajalik ka kliendihalduri teadmine. Lõike C punktis 4 on sätestatud, et aruandekohustuslik finantsasutus peab käsitama avaldatavate kontodena kliendihaldurile määratud kõrgema väärtusega kontosid (sealhulgas finantskontosid, mis on sellise kontoga liidetud), kui kliendihaldur tegelikult teab, et kontoomanik on avaldatav isik.</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Kliendihaldur on aruandekohustusliku finantsasutuse ametnik või töötaja, kes vastutab jooksvalt teatud kontoomanike eest (sealhulgas ametnik või töötaja, kes kuulub aruandekohustusliku finantsasutuse privaatpanganduse osakonda), nõustab kontoomanikke nende pangatehingute, investeerimise, usaldusfondide, usaldusisiku, kinnisomandi kasutamise kavandamise ja heategevusvajaduste juures ning soovitab või korraldab finantstoodete pakkumise või teenuste osutamise või asutusesiseste või -väliste teenusepakkujate osutatava muu abi nende vajaduste rahuldamiseks.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Selleks et isikut saaks pidada kliendihalduriks, peab kliendihaldus olema tema jaoks midagi enamat kui lisatööülesanne. Seega ei peeta kliendihalduriks isikut, kelle tööülesanded ei sisalda otsest kokkupuudet klientidega või on olemuselt haldusülesanded või kantseleitööga seotud ülesanded. Olenemata kontoomaniku ja aruandekohustusliku finantsasutuse töötaja vahelisest korrapärasest kokkupuutest ei pruugita seda töötajat pidada kliendihalduriks. </w:t>
      </w:r>
      <w:r w:rsidR="00010DDB">
        <w:rPr>
          <w:sz w:val="24"/>
        </w:rPr>
        <w:lastRenderedPageBreak/>
        <w:t>Näiteks võib aruandekohustusliku finantsasutuse töötaja, kes on suuresti vastutav tehingute/tellimuste või eritaotluste töötlemise eest, ka kontoomanikku hästi tundma õppida. Kuid teda ei peeta kliendihalduriks, välja arvatud juhul, kui sellele isikule tehakse lõpuks ülesandeks kontoomaniku asjaajamise haldamine aruandekohustuslikus finantsasutuses.</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Olenemata eeltoodud punktidest 36–37 on isik kliendihaldur lõike C punkti 4 tähenduses seoses kontoga, mille koondjääk või -väärtus ületab 1 000 000 USA dollarit, arvestades VII osa lõikes C nimetatud kontode liitmise ja valuuta arvestamise eeskirju. Seega selleks, et otsustada, kas aruandekohustusliku finantsasutuse ametnik või töötaja on kliendihaldur, (i) peab töötaja vastama kliendihalduri määratlusele ja (ii) kontoomaniku kontode koondjääk või -väärtus peab ületama 1 000 000 USA dollarit.</w:t>
      </w:r>
    </w:p>
    <w:p w:rsidR="00010DDB" w:rsidRPr="00E74148"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Järgmised näited illustreerivad, kuidas teha kindlaks, kas aruandekohustusliku finantsasutuse töötaja on kliendihaldur.</w:t>
      </w:r>
    </w:p>
    <w:p w:rsidR="00010DDB" w:rsidRPr="00E74148" w:rsidRDefault="00010DDB" w:rsidP="00E74148">
      <w:pPr>
        <w:pStyle w:val="Loenditpp"/>
        <w:widowControl w:val="0"/>
        <w:spacing w:after="100" w:afterAutospacing="1"/>
        <w:rPr>
          <w:sz w:val="24"/>
          <w:szCs w:val="24"/>
        </w:rPr>
      </w:pPr>
      <w:r>
        <w:rPr>
          <w:sz w:val="24"/>
        </w:rPr>
        <w:t>Näide 1. Füüsilisel isikul P-l on hoidmiskonto pangas R, mis on aruandekohustuslik finantsasutus. Aastalõpu seisuga on P konto väärtus 1 200 000 USA dollarit. R-i privaatpanganduse osakonna töötaja O haldab jooksvalt P kontot. Kuna O vastab kliendihalduri määratlusele ja P konto väärtus ületab 1 000 000 USA dollarit, on P O konto kliendihaldur.</w:t>
      </w:r>
    </w:p>
    <w:p w:rsidR="00010DDB" w:rsidRPr="00E74148" w:rsidRDefault="00010DDB" w:rsidP="00E74148">
      <w:pPr>
        <w:pStyle w:val="Loenditpp"/>
        <w:widowControl w:val="0"/>
        <w:spacing w:after="100" w:afterAutospacing="1"/>
        <w:rPr>
          <w:sz w:val="24"/>
          <w:szCs w:val="24"/>
        </w:rPr>
      </w:pPr>
      <w:r>
        <w:rPr>
          <w:sz w:val="24"/>
        </w:rPr>
        <w:t>Näide 2. Asjaolud on samad nagu esimeses näites, kuid P hoidmiskonto väärtus on aastalõpu seisuga 800 000 USA dollarit. Lisaks on P-l pangas R ka hoiusekonto, mille jääk on aastalõpu seisuga 400 000 USA dollarit. Mõlemad kontod on seotud P-ga ja üksteisega R-i asutusesisese tunnusnumbri kaudu. Kuna O vastab kliendihalduri määratlusele ja pärast kontode liitmise eeskirjade kohaldamist ületab P kontode koondjääk või -väärtus 1 000 000 USA dollarit, on O P kontode kliendihaldur.</w:t>
      </w:r>
    </w:p>
    <w:p w:rsidR="00010DDB" w:rsidRPr="00E74148" w:rsidRDefault="00010DDB" w:rsidP="00E74148">
      <w:pPr>
        <w:pStyle w:val="Loenditpp"/>
        <w:widowControl w:val="0"/>
        <w:spacing w:after="100" w:afterAutospacing="1"/>
        <w:rPr>
          <w:sz w:val="24"/>
          <w:szCs w:val="24"/>
        </w:rPr>
      </w:pPr>
      <w:r>
        <w:rPr>
          <w:sz w:val="24"/>
        </w:rPr>
        <w:t>Näide 3. Asjaolud on samad nagu teises näites, aga O ülesanded ei sisalda otsest kokkupuudet P-ga. Kuna O ei vasta kliendihalduri määratlusele, ei ole O P kontode kliendihaldur.</w:t>
      </w:r>
    </w:p>
    <w:p w:rsidR="00010DDB" w:rsidRPr="00E74148" w:rsidRDefault="00010DDB" w:rsidP="00E74148">
      <w:pPr>
        <w:pStyle w:val="Pealkiri4"/>
        <w:keepNext w:val="0"/>
        <w:widowControl w:val="0"/>
        <w:spacing w:after="100" w:afterAutospacing="1"/>
        <w:rPr>
          <w:sz w:val="24"/>
          <w:szCs w:val="24"/>
        </w:rPr>
      </w:pPr>
      <w:r>
        <w:rPr>
          <w:sz w:val="24"/>
        </w:rPr>
        <w:t>Lõike C punkt 5 – leitud tunnuste mõju</w:t>
      </w:r>
    </w:p>
    <w:p w:rsidR="00D76886"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Pr="00E331D9">
        <w:rPr>
          <w:sz w:val="24"/>
          <w:szCs w:val="24"/>
        </w:rPr>
        <w:fldChar w:fldCharType="begin"/>
      </w:r>
      <w:r w:rsidR="00D76886" w:rsidRPr="00E331D9">
        <w:rPr>
          <w:sz w:val="24"/>
          <w:szCs w:val="24"/>
        </w:rPr>
        <w:instrText>MACROBUTTON NUMBERING</w:instrText>
      </w:r>
      <w:r w:rsidRPr="00E331D9">
        <w:rPr>
          <w:sz w:val="24"/>
          <w:szCs w:val="24"/>
        </w:rPr>
        <w:fldChar w:fldCharType="end"/>
      </w:r>
      <w:r w:rsidR="00010DDB" w:rsidRPr="00E331D9">
        <w:rPr>
          <w:sz w:val="24"/>
        </w:rPr>
        <w:t>Kui kõrgema väärtusega kontode täiustatud ülevaatuse käigus ei leita ühtegi lõike B punktis 2 loetletud tunnust ja kontot ei käsitata kui avaldatava isiku kontot lõike C punkti 4 kohaselt, siis lõike C punkti 5 alapunkti a alusel ei ole edasised toimingud vajalikud seni, kuni kontoga seotud asjaoludes toimub muutus, mille tulemusena seostatakse kontot ühe või mitme tunnusega.</w:t>
      </w:r>
    </w:p>
    <w:p w:rsidR="00D76886"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Kui kõrgema väärtusega kontode täiustatud ülevaatuse käigus leitakse mõni lõike B punkti 2 alapunktides a kuni e loetletud tunnus või kui hiljem toimub muutus asjaoludes, mille tagajärjel üht või mitut tunnust kontoga seostatakse, siis lõike C punkti 5 alapunkti b kohaselt peab aruandekohustuslik finantsasutus käsitama kontot igale sellisele jurisdiktsioonile avaldatava kontona, millele leitud tunnus viitab, välja arvatud juhul, kui ta valib lõike B punkti 6 kohaldamise ja üks selle punkti eranditest on kohaldatav sellele kontole. Ühe ülevaatuse, näiteks paberil olevate andmete otsingu või kliendihalduri päringu käigus avastatud tunnust ei saa kasutada teise ülevaatuse, näiteks elektroonilise andmete otsingu käigus avastatud tunnuse parandamiseks. Näiteks ei saa kliendihaldurile teada olevat praegust elukoha aadressi avaldatavas jurisdiktsioonis kasutada, et parandada aruandekohustusliku finantsasutuse toimikus olevat teist elukoha aadressi, mis avastati paberil olevate andmete otsingu käigus.</w:t>
      </w:r>
    </w:p>
    <w:p w:rsidR="00010DDB" w:rsidRPr="00D76886"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D76886">
        <w:rPr>
          <w:sz w:val="24"/>
          <w:szCs w:val="24"/>
        </w:rPr>
        <w:lastRenderedPageBreak/>
        <w:fldChar w:fldCharType="begin"/>
      </w:r>
      <w:r w:rsidR="00010DDB" w:rsidRPr="00D76886">
        <w:rPr>
          <w:sz w:val="24"/>
          <w:szCs w:val="24"/>
        </w:rPr>
        <w:instrText>MACROBUTTON NUMBERING</w:instrText>
      </w:r>
      <w:r w:rsidRPr="00D76886">
        <w:rPr>
          <w:sz w:val="24"/>
          <w:szCs w:val="24"/>
        </w:rPr>
        <w:fldChar w:fldCharType="end"/>
      </w:r>
      <w:r w:rsidR="00010DDB" w:rsidRPr="00D76886">
        <w:rPr>
          <w:sz w:val="24"/>
        </w:rPr>
        <w:t>Kui kõrgema väärtusega kontode täiustatud ülevaatuse käigus ei leita muud aadressi, kui aadress, kuhu posti ajutiselt ei viida, või teise isiku aadress, kust post kätte saadakse, ja kontoomaniku puhul ei leita ühtki teist käesoleva osa lõike B punkti 2 alapunktides a kuni e loetletud tunnust, siis lõike C punkti 5 alapunkti c kohaselt peab aruandekohustuslik finantsasutus hankima kontoomanikult kinnituse või dokumentaalsed tõendid tema maksuresidentsuse kohta. Kui aruandekohustuslik finantsasutus kontoomanikult kinnitust või dokumentaalseid tõendeid ei saa, peab ta näitama seda kontot aruandluses kui dokumenteerimata kontot.</w:t>
      </w:r>
    </w:p>
    <w:p w:rsidR="00010DDB" w:rsidRPr="00E74148" w:rsidRDefault="00010DDB" w:rsidP="00E74148">
      <w:pPr>
        <w:pStyle w:val="Pealkiri4"/>
        <w:keepNext w:val="0"/>
        <w:widowControl w:val="0"/>
        <w:spacing w:after="100" w:afterAutospacing="1"/>
        <w:rPr>
          <w:sz w:val="24"/>
          <w:szCs w:val="24"/>
        </w:rPr>
      </w:pPr>
      <w:r>
        <w:rPr>
          <w:sz w:val="24"/>
        </w:rPr>
        <w:t>Lõike C punktid 6 kuni 9 – lisamenetlused</w:t>
      </w:r>
    </w:p>
    <w:p w:rsidR="00E331D9"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Pr="00E331D9">
        <w:rPr>
          <w:sz w:val="24"/>
          <w:szCs w:val="24"/>
        </w:rPr>
        <w:fldChar w:fldCharType="begin"/>
      </w:r>
      <w:r w:rsidR="00E331D9" w:rsidRPr="00E331D9">
        <w:rPr>
          <w:sz w:val="24"/>
          <w:szCs w:val="24"/>
        </w:rPr>
        <w:instrText>MACROBUTTON NUMBERING</w:instrText>
      </w:r>
      <w:r w:rsidRPr="00E331D9">
        <w:rPr>
          <w:sz w:val="24"/>
          <w:szCs w:val="24"/>
        </w:rPr>
        <w:fldChar w:fldCharType="end"/>
      </w:r>
      <w:r w:rsidR="00010DDB" w:rsidRPr="00E331D9">
        <w:rPr>
          <w:sz w:val="24"/>
        </w:rPr>
        <w:t>Lõike C punktis 6 sätestatakse, et kui füüsilise isiku olemasolev konto ei ole 31. detsembri [xxxx]. aasta seisuga kõrgema väärtusega konto (s.t, et see on madalama väärtusega konto), kuid saab selleks järgneva kalendriaasta viimaseks päevaks, siis korraldab aruandekohustuslik finantsasutus sellise konto täiustatud ülevaatuse selle kalendriaasta, mis järgneb kalendriaastale, mil konto muutus kõrgema väärtusega kontoks, jooksul. Kui ülevaatusel tehakse kindlaks, et konto on avaldatav konto, siis on aruandekohustuslik finantsasutus kohustatud esitama selle kontoga seotud nõutava teabe kohta aruande selle aasta kohta, mil konto tuvastati avaldatava kontona, ning järgnevatel aastatel aastapõhiselt, kuni kontoomanik lakkab olemast avaldatav isik.</w:t>
      </w:r>
    </w:p>
    <w:p w:rsidR="00E331D9"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Kuigi lõike C punktis 6 lahtiseks jäetud aasta määrab kindlaks ühtset aruandluse standardit rakendav jurisdiktsioon, eeldatakse, et valitakse sama aasta, mis valiti olemasoleva konto mõiste kohta.</w:t>
      </w:r>
    </w:p>
    <w:p w:rsidR="00E331D9"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Lõike C punktis 7 sätestatakse, et kui aruandekohustuslik finantsasutus on juba kohaldanud kõrgema väärtusega kontole täiustatud ülevaatuse menetlust, siis ei ole aruandekohustuslik finantsasutus kohustatud sama kõrgema väärtusega kontole järgnevatel aastatel uuesti vastavat menetlust kohaldama (see ei kehti kliendihalduri päringu kohta), välja arvatud juhul, kui tegemist on dokumenteerimata kontoga. Sellisel juhul on aruandekohustuslik finantsasutus kohustatud nimetatud menetlust kordama igal aastal seni, kuni konto ei ole enam dokumenteerimata konto. Samamoodi piisab kliendihalduri päringu korral iga-aastasest tõendamisest, ilma et kliendihaldur peaks kontode kaupa kinnitama, et ta tegelikult ei tea, et iga talle määratud kontoomanik on avaldatav isik.</w:t>
      </w:r>
    </w:p>
    <w:p w:rsidR="00E331D9"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Lõike C punktis 8 sätestatakse, et kui kõrgema väärtusega kontol toimub muutus asjaoludes, mille tagajärjel üht või mitut käesoleva osa lõike B punktis 2 kirjeldatud tunnust kontoga seostatakse, siis peab aruandekohustuslik finantsasutus käsitama kontot igale sellisele jurisdiktsioonile avaldatava kontona, millele leitud tunnus viitab, välja arvatud juhul, kui ta valib käesoleva osa lõike B punkti 6 kohaldamise ja üks selle punkti eranditest on sellele kontole kohaldatav. Kuid aruandekohustuslik finantsasutus võib otsustada käsitada seda isikut staatuses, mis tal oli enne asjaolude muutumist, 90 kalendripäeva jooksul pärast päeva, mil tunnus asjaolude muutumise tõttu avastati (vt ka punkti 17 eespool).</w:t>
      </w:r>
    </w:p>
    <w:p w:rsidR="00010DDB"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Aruandekohustuslikul finantsasutusel peavad olema asjakohased suhtluskanalid ja menetlus, et tagada, et kliendihaldur tuvastab igasuguse muutuse kontoga seotud asjaoludes, nagu on ette nähtud lõike C punktis 9. Näiteks kui kliendihaldurile teatatakse, et kontoomanikul on avaldatavas jurisdiktsioonis uus postiaadress, siis on aruandekohustuslik finantsasutus kohustatud käsitama uut aadressi asjaolude muutumisena ja kui ta otsustab kohaldada lõike B punkti 6, siis hankima kontoomanikult asjakohased dokumendid.</w:t>
      </w:r>
    </w:p>
    <w:p w:rsidR="00010DDB" w:rsidRPr="00E74148" w:rsidRDefault="00010DDB" w:rsidP="00E74148">
      <w:pPr>
        <w:pStyle w:val="Pealkiri3"/>
        <w:keepNext w:val="0"/>
        <w:widowControl w:val="0"/>
        <w:spacing w:after="100" w:afterAutospacing="1"/>
        <w:rPr>
          <w:sz w:val="24"/>
          <w:szCs w:val="24"/>
        </w:rPr>
      </w:pPr>
      <w:bookmarkStart w:id="161" w:name="_Toc420331837"/>
      <w:bookmarkStart w:id="162" w:name="_Toc420331906"/>
      <w:r>
        <w:rPr>
          <w:sz w:val="24"/>
        </w:rPr>
        <w:lastRenderedPageBreak/>
        <w:t>Lõiked D ja E – ülevaatamise ja lisatoimingute tähtaeg</w:t>
      </w:r>
      <w:bookmarkEnd w:id="161"/>
      <w:bookmarkEnd w:id="162"/>
    </w:p>
    <w:p w:rsidR="00E331D9"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Lõikes D sätestatakse aeg, mil tuleb teha ülevaatus füüsilise isiku olemasolevate kontode hulgast avaldatavate kontode tuvastamiseks. Selle sätte kohaselt tuleb ülevaatus lõpule viia [xx/xx/xxxx]. Kuigi selle kuupäeva määrab kindlaks ühtset aruandluse standardit rakendav jurisdiktsioon, eeldatakse, et valitud kuupäev on aastal, mis järgneb olemasoleva konto mõiste kohta valitud aastale seoses kõrgema väärtusega kontodega, ja ülejärgmisel aastal alates mõiste kohta valitud aastast seoses madalama väärtusega kontodega.</w:t>
      </w:r>
    </w:p>
    <w:p w:rsidR="00010DDB" w:rsidRPr="00E331D9" w:rsidRDefault="00F15FDA" w:rsidP="00324DEF">
      <w:pPr>
        <w:pStyle w:val="Num-DocParagraph"/>
        <w:widowControl w:val="0"/>
        <w:numPr>
          <w:ilvl w:val="0"/>
          <w:numId w:val="66"/>
        </w:numPr>
        <w:tabs>
          <w:tab w:val="clear" w:pos="850"/>
          <w:tab w:val="left" w:pos="567"/>
        </w:tabs>
        <w:spacing w:before="240" w:after="100" w:afterAutospacing="1"/>
        <w:ind w:left="0" w:firstLine="0"/>
        <w:rPr>
          <w:sz w:val="24"/>
          <w:szCs w:val="24"/>
        </w:rPr>
      </w:pPr>
      <w:r w:rsidRPr="00E331D9">
        <w:rPr>
          <w:sz w:val="24"/>
          <w:szCs w:val="24"/>
        </w:rPr>
        <w:fldChar w:fldCharType="begin"/>
      </w:r>
      <w:r w:rsidR="00010DDB" w:rsidRPr="00E331D9">
        <w:rPr>
          <w:sz w:val="24"/>
          <w:szCs w:val="24"/>
        </w:rPr>
        <w:instrText>MACROBUTTON NUMBERING</w:instrText>
      </w:r>
      <w:r w:rsidRPr="00E331D9">
        <w:rPr>
          <w:sz w:val="24"/>
          <w:szCs w:val="24"/>
        </w:rPr>
        <w:fldChar w:fldCharType="end"/>
      </w:r>
      <w:r w:rsidR="00010DDB" w:rsidRPr="00E331D9">
        <w:rPr>
          <w:sz w:val="24"/>
        </w:rPr>
        <w:t>Lõikes E sätestatakse olemasolevatele kontodele kohalduv lisamenetlus – füüsilise isiku olemasolevat kontot, mis on III osa kohaselt tuvastatud kui avaldatav konto, käsitatakse avaldatava kontona kõikidel järgnevatel aastatel seni, kuni kontoomanik lakkab olemast avaldatav isik.</w:t>
      </w:r>
    </w:p>
    <w:p w:rsidR="00010DDB" w:rsidRPr="00E74148" w:rsidRDefault="00010DDB" w:rsidP="00E74148">
      <w:pPr>
        <w:pStyle w:val="Pealkiri1"/>
        <w:keepNext w:val="0"/>
        <w:widowControl w:val="0"/>
        <w:spacing w:after="100" w:afterAutospacing="1"/>
        <w:rPr>
          <w:sz w:val="24"/>
          <w:szCs w:val="24"/>
        </w:rPr>
      </w:pPr>
      <w:bookmarkStart w:id="163" w:name="_Toc389723155"/>
      <w:bookmarkStart w:id="164" w:name="_Toc374431990"/>
      <w:bookmarkStart w:id="165" w:name="_Toc374431907"/>
      <w:bookmarkStart w:id="166" w:name="_Toc420331838"/>
      <w:bookmarkStart w:id="167" w:name="_Toc420331907"/>
      <w:r>
        <w:rPr>
          <w:sz w:val="24"/>
        </w:rPr>
        <w:t>Füüsilise isiku uute kontodega seotud hoolsusmeetmeid käsitleva IV osa kommentaarid</w:t>
      </w:r>
      <w:bookmarkEnd w:id="163"/>
      <w:bookmarkEnd w:id="164"/>
      <w:bookmarkEnd w:id="165"/>
      <w:bookmarkEnd w:id="166"/>
      <w:bookmarkEnd w:id="167"/>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See osa sisaldab füüsilise isiku uute kontodega seotud hoolsusmeetmeid ja selles sätestatakse kontoomanikult kinnituse hankimine (ja kinnituse mõistlikkus).</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kohaselt peab aruandekohustuslik finantsasutus konto avamisel</w:t>
      </w:r>
    </w:p>
    <w:p w:rsidR="00010DDB" w:rsidRPr="00E74148" w:rsidRDefault="00010DDB" w:rsidP="00E74148">
      <w:pPr>
        <w:pStyle w:val="Loenditpp"/>
        <w:widowControl w:val="0"/>
        <w:spacing w:after="100" w:afterAutospacing="1"/>
        <w:rPr>
          <w:sz w:val="24"/>
          <w:szCs w:val="24"/>
        </w:rPr>
      </w:pPr>
      <w:r>
        <w:rPr>
          <w:sz w:val="24"/>
        </w:rPr>
        <w:t>hankima kontoomaniku kinnituse, mis võib olla osa konto avamise dokumentatsioonist ja mis võimaldab aruandekohustuslikul finantsasutusel teha kindlaks kontoomaniku maksuresidentsuse(d) ja</w:t>
      </w:r>
    </w:p>
    <w:p w:rsidR="00010DDB" w:rsidRPr="00E74148" w:rsidRDefault="00010DDB" w:rsidP="00E74148">
      <w:pPr>
        <w:pStyle w:val="Loenditpp"/>
        <w:widowControl w:val="0"/>
        <w:spacing w:after="100" w:afterAutospacing="1"/>
        <w:rPr>
          <w:sz w:val="24"/>
          <w:szCs w:val="24"/>
        </w:rPr>
      </w:pPr>
      <w:r>
        <w:rPr>
          <w:sz w:val="24"/>
        </w:rPr>
        <w:t>kinnitama sellise kontoomaniku kinnituse mõistlikkust teabe põhjal, mida aruandekohustuslik finantsasutus on konto avamisekäigus hankinud, sealhulgas rahapesu tõkestamise / klienditundmise põhimõtte kohaselt kogutud dokumentide põhjal.</w:t>
      </w:r>
    </w:p>
    <w:p w:rsidR="00010DDB" w:rsidRPr="00E74148" w:rsidRDefault="00F15FDA" w:rsidP="00324DEF">
      <w:pPr>
        <w:pStyle w:val="Num-DocParagraph"/>
        <w:widowControl w:val="0"/>
        <w:numPr>
          <w:ilvl w:val="0"/>
          <w:numId w:val="67"/>
        </w:numPr>
        <w:tabs>
          <w:tab w:val="clear" w:pos="850"/>
          <w:tab w:val="left" w:pos="142"/>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kontoomaniku kinnitusest nähtub, et kontoomanik on avaldatava jurisdiktsiooni maksuresident, siis lõike B kohaselt peab aruandekohustuslik finantsasutus käsitama kontot avaldatava kontona.</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Kontoomaniku kinnitus peab võimaldama kindlaks määrata kontoomaniku maksuresidentsust. Üldjuhul on füüsilisel isikul vaid üks residendijurisdiktsioon. Kuid füüsiline isik võib olla kahe või enama jurisdiktsiooni maksuresident. Jurisdiktsioonide riigisiseses õiguses nähakse ette tingimused, mille alusel tuleb füüsilist isikut käsitada maksuresidendina. Need tingimused hõlmavad jurisdiktsiooniga seotuse eri viise, mis on riigisiseses maksuõiguses ulatusliku maksustamise (täieliku maksukohustuse) alus. Need hõlmavad ka juhtumeid, mil füüsilist isikut käsitatakse jurisdiktsiooni maksuõiguse alusel selle jurisdiktsiooni residendina (näiteks diplomaadid ja muud riigiteenistujad). Topeltresidentsuse juhtumite lahendamiseks sisaldavad maksukonventsioonid spetsiaalseid reegleid, mille alusel on seotus ühe jurisdiktsiooniga ülimuslik seotuse üle teise jurisdiktsiooniga. Üldiselt on füüsiline isik jurisdiktsiooni maksuresident, kui selle jurisdiktsiooni seaduste (sealhulgas maksukonventsioonide) alusel maksab isik seal makse või peab neid seal maksma alalise asukoha, elukoha või muu sarnase kriteeriumi alusel ning mitte </w:t>
      </w:r>
      <w:r w:rsidR="00010DDB">
        <w:rPr>
          <w:sz w:val="24"/>
        </w:rPr>
        <w:lastRenderedPageBreak/>
        <w:t>üksnes selles jurisdiktsioonis saadud tulult. Topeltresidendist füüsilised isikud võivad oma maksuresidentsuse kindlaksmääramiseks tugineda maksukonventsioonides sätestatud topeltresidentsuse lahendamise reeglitele (nende olemasolu korral) (vt punkti 23 allpool).</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kuidas on võimalik määrata kindlaks füüsilise isiku maksuresidentsust.</w:t>
      </w:r>
    </w:p>
    <w:p w:rsidR="00010DDB" w:rsidRPr="00E74148" w:rsidRDefault="00010DDB" w:rsidP="00E74148">
      <w:pPr>
        <w:pStyle w:val="Loenditpp"/>
        <w:widowControl w:val="0"/>
        <w:spacing w:after="100" w:afterAutospacing="1"/>
        <w:rPr>
          <w:sz w:val="24"/>
          <w:szCs w:val="24"/>
        </w:rPr>
      </w:pPr>
      <w:r>
        <w:rPr>
          <w:sz w:val="24"/>
        </w:rPr>
        <w:t>Näide 1. Füüsilise isiku alaline elukoht on jurisdiktsioonis A ja teda maksustatakse kui jurisdiktsiooni A residenti. Ta on viibinud üle kuue kuu jurisdiktsioonis B ja viimase õigusaktide järgi maksustatakse teda viibimise kestuse alusel kui selle jurisdiktsiooni residenti. Seega on ta mõlema jurisdiktsiooni resident.</w:t>
      </w:r>
    </w:p>
    <w:p w:rsidR="00010DDB" w:rsidRPr="00E74148" w:rsidRDefault="00010DDB" w:rsidP="00E74148">
      <w:pPr>
        <w:pStyle w:val="Loenditpp"/>
        <w:widowControl w:val="0"/>
        <w:spacing w:after="100" w:afterAutospacing="1"/>
        <w:rPr>
          <w:sz w:val="24"/>
          <w:szCs w:val="24"/>
        </w:rPr>
      </w:pPr>
      <w:r>
        <w:rPr>
          <w:sz w:val="24"/>
        </w:rPr>
        <w:t>Näide 2. Asjaolud on samad nagu esimeses näites, kuid isik viibis jurisdiktsioonis B vaid kaheksa nädalat ja jurisdiktsiooni B õigusaktide järgi ei maksustata teda viibimise kestuse alusel kui jurisdiktsiooni B residenti. Seega on ta üksnes jurisdiktsiooni A resident.</w:t>
      </w:r>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Eeldatakse, et osalevad jurisdiktsioonid aitavad maksumaksjatel oma maksuresidentsust kindlaks määrata ja jagavad sellekohast teavet. Seda on võimalik teha näiteks teenuste osutamise erinevate kanalite kaudu, mida kasutatakse maksumaksjatele maksuseaduste kohaldamise kohta teabe või juhiste jagamiseks (näiteks telefon, esindused, internet). OECD teeb jõupingutusi sellise teabe levitamise hõlbustamiseks.</w:t>
      </w:r>
    </w:p>
    <w:p w:rsidR="00010DDB" w:rsidRPr="00E74148" w:rsidRDefault="00010DDB" w:rsidP="00E74148">
      <w:pPr>
        <w:pStyle w:val="Pealkiri4"/>
        <w:keepNext w:val="0"/>
        <w:widowControl w:val="0"/>
        <w:spacing w:after="100" w:afterAutospacing="1"/>
        <w:rPr>
          <w:sz w:val="24"/>
          <w:szCs w:val="24"/>
        </w:rPr>
      </w:pPr>
      <w:r>
        <w:rPr>
          <w:sz w:val="24"/>
        </w:rPr>
        <w:t>Kontoomaniku kinnituse kehtivuse tingimused</w:t>
      </w:r>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 on kinnitus, milles nähakse ette kontoomaniku staatus ja muu teave, mida aruandekohustuslik finantsasutus võib mõistlikult nõuda oma aruandluse ja hoolsusmeetmetega seotud kohustuste täitmiseks, näiteks kas kontoomanik on avaldatava jurisdiktsiooni maksuresident. Füüsilise isiku uute kontode puhul kehtib kontoomaniku kinnitus vaid juhul, kui kontoomanik on selle allkirjastanud (või muul viisil kinnitanud), sellele on lisatud kuupäev hiljemalt selle kättesaamise päeval ja see sisaldab kontoomaniku</w:t>
      </w:r>
    </w:p>
    <w:p w:rsidR="00010DDB" w:rsidRPr="00E74148" w:rsidRDefault="00010DDB" w:rsidP="005C33A2">
      <w:pPr>
        <w:pStyle w:val="Loendinumber"/>
        <w:widowControl w:val="0"/>
        <w:numPr>
          <w:ilvl w:val="0"/>
          <w:numId w:val="18"/>
        </w:numPr>
        <w:spacing w:after="100" w:afterAutospacing="1"/>
        <w:rPr>
          <w:sz w:val="24"/>
          <w:szCs w:val="24"/>
        </w:rPr>
      </w:pPr>
      <w:r>
        <w:rPr>
          <w:sz w:val="24"/>
        </w:rPr>
        <w:t>nime,</w:t>
      </w:r>
    </w:p>
    <w:p w:rsidR="00010DDB" w:rsidRPr="00E74148" w:rsidRDefault="00010DDB" w:rsidP="005C33A2">
      <w:pPr>
        <w:pStyle w:val="Loendinumber"/>
        <w:widowControl w:val="0"/>
        <w:numPr>
          <w:ilvl w:val="0"/>
          <w:numId w:val="18"/>
        </w:numPr>
        <w:spacing w:after="100" w:afterAutospacing="1"/>
        <w:rPr>
          <w:sz w:val="24"/>
          <w:szCs w:val="24"/>
        </w:rPr>
      </w:pPr>
      <w:r>
        <w:rPr>
          <w:sz w:val="24"/>
        </w:rPr>
        <w:t>elukoha aadressi,</w:t>
      </w:r>
    </w:p>
    <w:p w:rsidR="00010DDB" w:rsidRPr="00E74148" w:rsidRDefault="00010DDB" w:rsidP="005C33A2">
      <w:pPr>
        <w:pStyle w:val="Loendinumber"/>
        <w:widowControl w:val="0"/>
        <w:numPr>
          <w:ilvl w:val="0"/>
          <w:numId w:val="18"/>
        </w:numPr>
        <w:spacing w:after="100" w:afterAutospacing="1"/>
        <w:rPr>
          <w:sz w:val="24"/>
          <w:szCs w:val="24"/>
        </w:rPr>
      </w:pPr>
      <w:r>
        <w:rPr>
          <w:sz w:val="24"/>
        </w:rPr>
        <w:t>maksuresidentsuse jurisdiktsiooni,</w:t>
      </w:r>
    </w:p>
    <w:p w:rsidR="00010DDB" w:rsidRPr="00E74148" w:rsidRDefault="00010DDB" w:rsidP="005C33A2">
      <w:pPr>
        <w:pStyle w:val="Loendinumber"/>
        <w:widowControl w:val="0"/>
        <w:numPr>
          <w:ilvl w:val="0"/>
          <w:numId w:val="18"/>
        </w:numPr>
        <w:spacing w:after="100" w:afterAutospacing="1"/>
        <w:rPr>
          <w:sz w:val="24"/>
          <w:szCs w:val="24"/>
        </w:rPr>
      </w:pPr>
      <w:r>
        <w:rPr>
          <w:sz w:val="24"/>
        </w:rPr>
        <w:t>avaldatava jurisdiktsiooni TIN-i (vt punkti 8 allpool) ja</w:t>
      </w:r>
    </w:p>
    <w:p w:rsidR="00010DDB" w:rsidRPr="00E74148" w:rsidRDefault="00010DDB" w:rsidP="005C33A2">
      <w:pPr>
        <w:pStyle w:val="Loendinumber"/>
        <w:widowControl w:val="0"/>
        <w:numPr>
          <w:ilvl w:val="0"/>
          <w:numId w:val="18"/>
        </w:numPr>
        <w:spacing w:after="100" w:afterAutospacing="1"/>
        <w:rPr>
          <w:sz w:val="24"/>
          <w:szCs w:val="24"/>
        </w:rPr>
      </w:pPr>
      <w:r>
        <w:rPr>
          <w:sz w:val="24"/>
        </w:rPr>
        <w:t>sünniaega (vt punkti 8 allpool).</w:t>
      </w:r>
    </w:p>
    <w:p w:rsidR="00010DDB" w:rsidRPr="00E74148" w:rsidRDefault="00010DDB" w:rsidP="00D0509E">
      <w:pPr>
        <w:pStyle w:val="Kehatekst"/>
        <w:widowControl w:val="0"/>
        <w:tabs>
          <w:tab w:val="clear" w:pos="850"/>
          <w:tab w:val="left" w:pos="567"/>
        </w:tabs>
        <w:spacing w:after="100" w:afterAutospacing="1"/>
        <w:ind w:firstLine="567"/>
        <w:rPr>
          <w:sz w:val="24"/>
          <w:szCs w:val="24"/>
        </w:rPr>
      </w:pPr>
      <w:r>
        <w:rPr>
          <w:sz w:val="24"/>
        </w:rPr>
        <w:t>Aruandekohustuslik finantsasutus võib kinnituse eeltäita, lisades sinna kontoomaniku kohta käiva teabe, välja arvatud maksuresidentsuse jurisdiktsiooni, niivõrd, kuivõrd need andmed on finantsasutuse toimikus juba olemas.</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kontoomanik on avaldatava jurisdiktsiooni maksuresident, peab kontoomaniku kinnitus sisaldama (i) kontoomaniku iga avaldatava jurisdiktsiooni TIN-i, arvestades I osa lõiget D (vt I osa kommentaaride punkte 29–32), ja (ii) kontoomaniku sünniaega. Kontoomaniku kinnitus ei pea sisaldama kontoomaniku sünnikohta, kuna I osa lõike E järgi ei pea sünnikohta vahetatava teabe hulka lisama, välja arvatud juhul, kui aruandekohustuslik finantsasutus peab neid andmeid riigisisese õiguse kohaselt muul põhjusel koguma ja edastama ning nad on kättesaadavad aruandekohustusliku finantsasutuse elektroonilisest andmebaasist.</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Kontoomaniku kinnituse võib esitada mis tahes viisil ja mis tahes vormis (näiteks elektrooniliselt – teisaldatavas dokumendiformaadis (.pdf) või skannitud dokumendina). Kui kontoomaniku kinnitus esitatakse elektrooniliselt, peab elektrooniline süsteem tagama, et saadud teave on see, mis saadeti, ja dokumenteerima kõik korrad, mil kasutaja siseneb süsteemi ja esitab kinnituse või uuendab või muudab seda. Lisaks peavad elektroonilise süsteemi ülesehitus ja talitlus, sealhulgas ligipääsuprotseduur, tagama, et süsteemi sisenev ja kinnitust täitev isik on kinnituses nimetatud isik, ning peavad suutma väljastada elektrooniliselt esitatud kinnituse paberil koopia, kui seda nõutakse. Kui teavet esitatakse koos konto avamise dokumentidega, ei pea see olema dokumendi mingil konkreetsel leheküljel või mingis konkreetses vormis, kui teave on täielik.</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kontoomaniku kinnituse esitamist.</w:t>
      </w:r>
    </w:p>
    <w:p w:rsidR="00010DDB" w:rsidRPr="00E74148" w:rsidRDefault="00010DDB" w:rsidP="00E74148">
      <w:pPr>
        <w:pStyle w:val="Loenditpp"/>
        <w:widowControl w:val="0"/>
        <w:spacing w:after="100" w:afterAutospacing="1"/>
        <w:rPr>
          <w:sz w:val="24"/>
          <w:szCs w:val="24"/>
        </w:rPr>
      </w:pPr>
      <w:r>
        <w:rPr>
          <w:sz w:val="24"/>
        </w:rPr>
        <w:t>Näide 1. Füüsiline isik A täidab elektroonilise taotluse konto avamiseks aruandekohustuslikus finantsasutuses K. Kogu kinnituses nõutud teabe sisestab A elektroonilisse avaldusse (sealhulgas kinnituse A maksuresidentsuse jurisdiktsiooni kohta). K teenusepakkuja kinnitab, et elektroonilises kinnituses esitatud teave A kohta on rahapesu tõkestamise / klienditundmise põhimõtte kohaselt kogutud teabe põhjal mõistlik. A kinnitus on kehtiv.</w:t>
      </w:r>
    </w:p>
    <w:p w:rsidR="00010DDB" w:rsidRPr="00E74148" w:rsidRDefault="00010DDB" w:rsidP="00E74148">
      <w:pPr>
        <w:pStyle w:val="Loenditpp"/>
        <w:widowControl w:val="0"/>
        <w:spacing w:after="100" w:afterAutospacing="1"/>
        <w:rPr>
          <w:sz w:val="24"/>
          <w:szCs w:val="24"/>
        </w:rPr>
      </w:pPr>
      <w:r>
        <w:rPr>
          <w:sz w:val="24"/>
        </w:rPr>
        <w:t>Näide 2. Füüsiline isik B esitab isiklikult taotluse konto avamiseks pangas L. Isikusamasuse tõendamiseks esitab B oma isikutunnistuse, samuti kogu kinnituseks nõutava teabe L-i töötajale, kes sisestab teabe L-i süsteemi. B allkirjastab kinnituse. B kinnitus on kehtiv.</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kinnituse võib allkirjastada (või muul viisil kinnitada) iga isik, kes on riigisisese õiguse alusel volitatud dokumente kontoomaniku nimel allkirjastama. Kontoomaniku kinnitust allkirjastama volitatud isik on üldjuhul testamenditäitja, testamenditäitjaga samaväärne isik ja muu isik, kellele kontoomanik on andnud kirjaliku volituse dokumentide allkirjastamiseks enda nimel.</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 kehtib seni, kuni muutuvad asjaolud, mille tõttu saab aruandekohustuslik finantsasutus teada või tal on alust arvata, et kontoomaniku esialgne kinnitus ei ole õige või usaldusväärne (vt III osa kommentaaride punkti 17 ja VII osa kommentaaride punkte 2–3). Sellisel juhul ei tohi aruandekohustuslik finantsasutus lõike C kohaselt tugineda sellele kontoomaniku kinnitusele ning peab hankima kas (i) kontoomaniku kehtiva kinnituse, millest nähtub kontoomaniku maksuresidentsus, või (ii) mõistliku selgituse ja dokumendid (olenevalt olukorrast), mis toetavad kontoomaniku esialgse kinnituse kehtivust (ja säilitama sellise selgituse või dokumendi koopia või märke selle kohta). Seega eeldatakse, et aruandekohustuslik finantsasutus kehtestab tegevuskorra, millega tagab, et aruandekohustuslik finantsasutus tuvastab mis tahes muutuse, mis kujutab endast asjaolude muutust. Lisaks eeldatakse, et aruandekohustuslik finantsasutus teavitab kõiki kinnitust esitavaid isikuid nende kohustusest teavitada aruandekohustuslikku finantsasutust asjaolude muutumisest.</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Aruandekohustuslikule finantsasutusele esitatud kontoomaniku kinnitust mõjutav asjaolude muutus lõpetab kinnituse kehtivuse seoses teabega, mis ei ole enam usaldusväärne, kuni teavet kaasajastatakse (vt III osa kommentaaride punkti 17).</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Kontoomaniku kinnitus kaotab kehtivuse päeval, mil kinnitust omav aruandekohustuslik finantsasutus saab teada või tal on alust arvata, et kontoomaniku kinnituse õigsust mõjutavad asjaolud on muutunud. Kuid aruandekohustuslik finantsasutus võib otsustada käsitada isikut </w:t>
      </w:r>
      <w:r w:rsidR="00010DDB">
        <w:rPr>
          <w:sz w:val="24"/>
        </w:rPr>
        <w:lastRenderedPageBreak/>
        <w:t>staatuses, milles ta oli enne asjaolude muutumist, kuni 90 kalendripäeva möödumiseni päevast, mil kinnitus kaotas asjaolude muutumise tõttu kehtivuse, päevast, mil kinnitatakse kontoomaniku kinnituse kehtivust, või uue kinnituse hankimise päevast, mis tahes neist on varaseim. Aruandekohustuslik finantsasutus võib tugineda kontoomaniku kinnitusele, ilma et ta uuriks asjaolude võimaliku muutumise kohta, mis võib mõjutada avalduse kehtivust, välja arvatud juhul, kui ta teab või tal on alust arvata, et asjaolud on muutunud.</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aruandekohustuslik finantsasutus ei suuda hankida kinnitust kontoomaniku esialgse kinnituse kehtivuse kohta või kontoomaniku kehtivat kinnitust nimetatud 90-päevase perioodi jooksul, peab aruandekohustuslik finantsasutus käsitama kontoomanikku selle jurisdiktsiooni, mille resident kontoomanik end esialgses kinnituses väitis olevat ja mille resident võib kontoomanik asjaolude muutumise tõttu olla, residendina.</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võib säilitada kinnituse originaali, kinnitatud koopia või fotokoopia (sealhulgas diamikrokaardi, elektroonilise skanni või muus sarnases elektroonilises vormis). Iga elektrooniliselt hoiustatav dokument tuleb vastava taotluse saamisel teha kättesaadavaks paberil.</w:t>
      </w:r>
    </w:p>
    <w:p w:rsidR="00010DDB" w:rsidRPr="00E74148" w:rsidRDefault="00010DDB" w:rsidP="00E74148">
      <w:pPr>
        <w:pStyle w:val="Pealkiri4"/>
        <w:keepNext w:val="0"/>
        <w:widowControl w:val="0"/>
        <w:spacing w:after="100" w:afterAutospacing="1"/>
        <w:rPr>
          <w:sz w:val="24"/>
          <w:szCs w:val="24"/>
        </w:rPr>
      </w:pPr>
      <w:r>
        <w:rPr>
          <w:sz w:val="24"/>
        </w:rPr>
        <w:t>Kontoomaniku kinnituses esinevate vigade parandamine</w:t>
      </w:r>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võib käsitada kontoomaniku kinnitust kehtivana olenemata asjaolust, et selles on väheoluline viga, kui aruandekohustusliku finantsasutuse toimikus on piisavalt dokumente, mis täiendavad vea tõttu kinnitusest puuduvat teavet. Sellisel juhul peavad dokumendid, millele väheolulise vea parandamisel tugineti, olema lõplikud. Näiteks võib kontoomaniku kinnitust, milles selle esitaja lühendas residendijurisdiktsiooni, käsitada kehtivana olenemata lühendamisest, kui aruandekohustuslikul finantsasutusel on isiku kohta riigi väljastatud isikut tõendav dokument, millest nähtub jurisdiktsioon, mis vastab mõistlikult lühendile. Kuid residendijurisdiktsiooni lühend, mis ei vasta isiku passis esitatud residendijurisdiktsioonile, ei ole väheoluline viga. Residendijurisdiktsiooni esitamata jätmine ei ole väheoluline viga. Lisaks ei ole kontoomaniku kinnituses esitatud teave, mis on vastuolus muu kinnituses või kliendi põhitoimikus sisalduva teabega, väheoluline viga.</w:t>
      </w:r>
    </w:p>
    <w:p w:rsidR="00010DDB" w:rsidRPr="00E74148" w:rsidRDefault="00010DDB" w:rsidP="00E74148">
      <w:pPr>
        <w:pStyle w:val="Pealkiri4"/>
        <w:keepNext w:val="0"/>
        <w:widowControl w:val="0"/>
        <w:spacing w:after="100" w:afterAutospacing="1"/>
        <w:rPr>
          <w:sz w:val="24"/>
          <w:szCs w:val="24"/>
        </w:rPr>
      </w:pPr>
      <w:r>
        <w:rPr>
          <w:sz w:val="24"/>
        </w:rPr>
        <w:t>Kontoomaniku kontopõhised kinnitused</w:t>
      </w:r>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Üldjuhul võib aruandekohustuslik finantsasutus, milles klient võib konto avada, hankida kontoomaniku kinnituse kontopõhiselt. Kuid aruandekohustuslik finantsasutus võib tugineda kinnitusele, mille klient on täitnud teise konto kohta, juhul, kui mõlemaid kontosid käsitatakse ühe kontona VII osa lõikes A ette nähtud teadmisstandardi nõuete täitmise tähenduses.</w:t>
      </w:r>
    </w:p>
    <w:p w:rsidR="00010DDB" w:rsidRPr="00E74148" w:rsidRDefault="00010DDB" w:rsidP="00E74148">
      <w:pPr>
        <w:pStyle w:val="Pealkiri4"/>
        <w:keepNext w:val="0"/>
        <w:widowControl w:val="0"/>
        <w:spacing w:after="100" w:afterAutospacing="1"/>
        <w:rPr>
          <w:sz w:val="24"/>
          <w:szCs w:val="24"/>
        </w:rPr>
      </w:pPr>
      <w:r>
        <w:rPr>
          <w:sz w:val="24"/>
        </w:rPr>
        <w:t>Teiste isikute kogutud dokumendid</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II osa lõikes D sätestatud, võib osalev jurisdiktsioon lubada aruandekohustuslikel finantsasutustel kasutada neile pandud aruandluse ja hoolsusmeetmetega seotud kohustuste täitmiseks teenusepakkujat. Sellisel juhul võib aruandekohustuslik finantsasutus kasutada teenusepakkuja (näiteks andmete esitaja, finantsnõustaja, kindlustusagendi) kogutud dokumente (sealhulgas kontoomaniku kinnitust), võttes arvesse riigisiseses õiguses sätestatud tingimusi. Kuid aruandluse ja hoolsusmeetmetega seotud kohustused jäävad ikkagi aruandekohustusliku finantsasutuse ülesandeks.</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Aruandekohustuslik finantsasutus võib tugineda oma agendi (sealhulgas avatud </w:t>
      </w:r>
      <w:r w:rsidR="00010DDB">
        <w:rPr>
          <w:sz w:val="24"/>
        </w:rPr>
        <w:lastRenderedPageBreak/>
        <w:t>investeerimisfondi, riskifondi või erakapitaligrupi nõustaja) kogutud dokumentidele (sealhulgas kontoomaniku kinnitusele). Agent võib säilitada dokumente ühe aruandekohustusliku finantsasutuse või mitme aruandekohustusliku finantsasutuse jaoks peetava infosüsteemi osana eeldusel, et igal aruandekohustuslikul finantsasutusel, kelle heaks agent dokumente säilitab, on võimalik kergesti ligi pääseda andmetele dokumentide olemuse ning dokumentides sisalduva teabe (sealhulgas dokumendi koopia) ja selle kehtivuse kohta ning kergesti edastada teavet kas otse elektroonilisse süsteemi või agendile seoses mis tahes asjaoludega, mille kohta aruandekohustuslik finantsasutus saab teada, et need võivad mõjutada dokumentide usaldusväärsust. Aruandekohustuslikul finantsasutusel peab olema võimalik teha vajalikus ulatuses kindlaks, kuidas ja millal on ta edastanud andmeid seoses mis tahes asjaoludega, mille kohta ta sai teada, et need võivad mõjutada dokumentide usaldusväärsust, samuti teha kindlaks, kas tema edastatud andmeid on töödeldud ja kas seoses dokumentide kehtivusega on võetud kasutusele nõuetekohaseid hoolsusmeetmeid. Agendil peab olema süsteem, millega tagada, et mis tahes teave, mida ta saab seoses asjaoludega, mis mõjutavad dokumentide usaldusväärsust või kliendi staatust, edastatakse kõikidele aruandekohustuslikele finantsasutustele, kelle heaks agent dokumente säilitab.</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 finantsasutusel, kes omandab konto oma eelkäijalt või ühinemise või kontode massilise omandamise korral võõrandajalt, on üldjuhul lubatud tugineda eelkäija või võõrandaja kogutud kehtivatele dokumentidele (sealhulgas kehtivale kontoomaniku kinnitusele) või nende koopiale. Lisaks on ka aruandekohustuslikul finantsasutusel, kes ühinemise või kontode massilise omandamise korral omandab konto teiselt aruandekohustuslikult finantsasutuselt, kes on võõrandatud kontode suhtes võtnud kõik II kuni VII osas ette nähtud hoolsusmeetmed, üldjuhul samuti lubatud tugineda kontoomaniku staatusele, mille on määranud eelkäija või võõrandaja, kuni ajani, mil omandaja saab teada või tal on alust arvata, et staatus ei ole õige või asjaolud on muutunud (vt III osa kommentaaride punkti 17).</w:t>
      </w:r>
    </w:p>
    <w:p w:rsidR="00010DDB" w:rsidRPr="00E74148" w:rsidRDefault="00010DDB" w:rsidP="00E74148">
      <w:pPr>
        <w:pStyle w:val="Pealkiri4"/>
        <w:keepNext w:val="0"/>
        <w:widowControl w:val="0"/>
        <w:spacing w:after="100" w:afterAutospacing="1"/>
        <w:rPr>
          <w:sz w:val="24"/>
          <w:szCs w:val="24"/>
        </w:rPr>
      </w:pPr>
      <w:r>
        <w:rPr>
          <w:sz w:val="24"/>
        </w:rPr>
        <w:t>Kontoomanike kinnituste mõistlikkus</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eespool punktis 2 mainitud, peab aruandekohustuslik finantsasutus konto avamisel pärast kontoomaniku kinnituse, mis võimaldab aruandekohustuslikul finantsasutusel teha kindlaks kontoomaniku maksuresidentsuse(d), hankimist kinnitama sellise kontoomaniku kinnituse mõistlikkust teabe põhjal, mida aruandekohustuslik finantsasutus on konto avamise käigus hankinud, sealhulgas rahapesu tõkestamise / klienditundmise põhimõtte kohaselt kogutud dokumentide põhjal (nn mõistlikkuse test).</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Loetakse, et aruandekohustuslik finantsasutus on kinnitanud kontoomaniku kinnituse mõistlikkust, kui konto avamise ja seejuures kogutud teabe (sealhulgas rahapesu tõkestamise / klienditundmise põhimõtte kohaselt kogutud dokumentide) ülevaatuse käigus ei tea aruandekohustuslik finantsasutus ja tal ei ole alust arvata, et kontoomaniku kinnitus ei ole õige või usaldusväärne (vt VII osa kommentaaride punkte 2–3). Aruandekohustuslikelt finantsasutustelt ei eeldata asjakohaste maksuseaduste sõltumatut õiguslikku analüüsi kontoomaniku kinnituse mõistlikkuse kinnitamiseks.</w:t>
      </w:r>
    </w:p>
    <w:p w:rsidR="00010DDB" w:rsidRPr="00E74148" w:rsidRDefault="00F15FDA" w:rsidP="00324DEF">
      <w:pPr>
        <w:pStyle w:val="Num-DocParagraph"/>
        <w:widowControl w:val="0"/>
        <w:numPr>
          <w:ilvl w:val="0"/>
          <w:numId w:val="67"/>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nn mõistlikkuse testi kohaldamist.</w:t>
      </w:r>
    </w:p>
    <w:p w:rsidR="00010DDB" w:rsidRPr="00E74148" w:rsidRDefault="00010DDB" w:rsidP="00E74148">
      <w:pPr>
        <w:pStyle w:val="Loenditpp"/>
        <w:widowControl w:val="0"/>
        <w:spacing w:after="100" w:afterAutospacing="1"/>
        <w:rPr>
          <w:sz w:val="24"/>
          <w:szCs w:val="24"/>
        </w:rPr>
      </w:pPr>
      <w:r>
        <w:rPr>
          <w:sz w:val="24"/>
        </w:rPr>
        <w:t xml:space="preserve">Näide 1. Aruandekohustuslik finantsasutus hangib konto avamisel kontoomanikult kinnituse. Kinnituses olev elukoha aadressi jurisdiktsioon on vastuolus rahapesu tõkestamise / klienditundmise põhimõtte kohaselt kogutud dokumentides sisalduvaga. Vastuolulise teabe tõttu ei ole kontoomaniku kinnitus õige ega </w:t>
      </w:r>
      <w:r>
        <w:rPr>
          <w:sz w:val="24"/>
        </w:rPr>
        <w:lastRenderedPageBreak/>
        <w:t>usaldusväärne ning selle tagajärjel ei läbi kontoomaniku kinnitus mõistlikkuse testi.</w:t>
      </w:r>
    </w:p>
    <w:p w:rsidR="00010DDB" w:rsidRPr="00E74148" w:rsidRDefault="00010DDB" w:rsidP="00E74148">
      <w:pPr>
        <w:pStyle w:val="Loenditpp"/>
        <w:widowControl w:val="0"/>
        <w:spacing w:after="100" w:afterAutospacing="1"/>
        <w:rPr>
          <w:sz w:val="24"/>
          <w:szCs w:val="24"/>
        </w:rPr>
      </w:pPr>
      <w:r>
        <w:rPr>
          <w:sz w:val="24"/>
        </w:rPr>
        <w:t>Näide 2. Aruandekohustuslik finantsasutus hangib konto avamisel kontoomanikult kinnituse. Kontoomaniku kinnituses sisalduv elukoha aadress ei ole jurisdiktsioonis, mille maksuresident kontoomanik väidab end olevat. Vastuolulise teabe tõttu ei läbi kontoomaniku kinnitus mõistlikkuse testi.</w:t>
      </w:r>
    </w:p>
    <w:p w:rsidR="00010DDB" w:rsidRPr="00E74148" w:rsidRDefault="00F15FDA" w:rsidP="00324DEF">
      <w:pPr>
        <w:pStyle w:val="Num-DocParagraph"/>
        <w:widowControl w:val="0"/>
        <w:numPr>
          <w:ilvl w:val="0"/>
          <w:numId w:val="67"/>
        </w:numPr>
        <w:tabs>
          <w:tab w:val="clear" w:pos="850"/>
          <w:tab w:val="left" w:pos="567"/>
        </w:tabs>
        <w:spacing w:after="100" w:afterAutospacing="1"/>
        <w:ind w:left="0" w:firstLine="0"/>
        <w:rPr>
          <w:strike/>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kinnituse korral, mis vastasel juhul ei läbiks mõistlikkuse testi, eeldatakse, et konto avamise käigus hangib aruandekohustuslik finantsasutus kas (i) kontoomaniku kehtiva kinnituse või (ii) mõistliku selgituse ja dokumendid (olenevalt olukorrast), mis toetavad kontoomaniku kinnituse mõistlikkust (ja säilitab sellise selgituse või dokumendi koopia või märke selle kohta). Mõistlik selgitus on näiteks isiku avaldus, et ta on 1) asjaomase jurisdiktsiooni õppeasutuses õpilane ja tal on nõuetekohane viisa (kui see on nõutud); 2) asjaomase jurisdiktsiooni õppeasutuses õpetaja või praktikant või ta osaleb haridus- või kultuurivaldkonna külalisprogrammis ja tal on nõuetekohane viisa (kui see on nõutud); 3) välismaa kodanik, kes on määratud asjaomases jurisdiktsioonis asuva konsulaadi või saatkonna diplomaatilisele teenistus- või ametikohale; või 4) piirialatöötaja või veokil või rongis töötav töötaja, kes reisib jurisdiktsioonide vahel. Järgnev näide illustreerib käesoleva lõike kohaldamist. Aruandekohustuslik finantsasutus hangib konto avamisel kontoomanikult kinnituse. Kinnituses olev maksuresidentsuse jurisdiktsioon on vastuolus rahapesu tõkestamise / klienditundmise põhimõtte kohaselt kogutud dokumentides sisalduva elukoha aadressiga. Kontoomanik selgitab, et ta on konkreetse jurisdiktsiooni diplomaat ja selle tõttu on ta selle jurisdiktsiooni resident. Ta esitab ka oma diplomaatilise passi. Kuna aruandekohustuslik finantsasutus hankis mõistliku selgituse ja dokumendid, mis toetavad kontoomaniku kinnituse mõistlikkust, läbib kontoomaniku kinnitus mõistlikkuse testi.</w:t>
      </w:r>
    </w:p>
    <w:bookmarkStart w:id="168" w:name="_Toc374431910"/>
    <w:bookmarkStart w:id="169" w:name="_Toc374431991"/>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170" w:name="_Toc389723156"/>
      <w:bookmarkStart w:id="171" w:name="_Toc420331839"/>
      <w:bookmarkStart w:id="172" w:name="_Toc420331908"/>
      <w:r w:rsidRPr="00E74148">
        <w:rPr>
          <w:sz w:val="24"/>
          <w:szCs w:val="24"/>
        </w:rPr>
        <w:fldChar w:fldCharType="end"/>
      </w:r>
      <w:r w:rsidR="00010DDB">
        <w:rPr>
          <w:sz w:val="24"/>
        </w:rPr>
        <w:t>Ettevõtte olemasolevate kontodega seotud hoolsusmeetmeid käsitleva V osa kommentaarid</w:t>
      </w:r>
      <w:bookmarkEnd w:id="168"/>
      <w:bookmarkEnd w:id="169"/>
      <w:bookmarkEnd w:id="170"/>
      <w:bookmarkEnd w:id="171"/>
      <w:bookmarkEnd w:id="172"/>
    </w:p>
    <w:p w:rsidR="00010DDB" w:rsidRPr="00E74148" w:rsidRDefault="00F15FDA" w:rsidP="00324DEF">
      <w:pPr>
        <w:pStyle w:val="Num-DocParagraph"/>
        <w:widowControl w:val="0"/>
        <w:numPr>
          <w:ilvl w:val="0"/>
          <w:numId w:val="73"/>
        </w:numPr>
        <w:tabs>
          <w:tab w:val="clear" w:pos="850"/>
          <w:tab w:val="clear" w:pos="1191"/>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osas sätestatakse ettevõtte olemasolevate kontodega seotud hoolsusmeetmed.</w:t>
      </w:r>
    </w:p>
    <w:p w:rsidR="00010DDB" w:rsidRPr="00E74148" w:rsidRDefault="00010DDB" w:rsidP="00E74148">
      <w:pPr>
        <w:pStyle w:val="Pealkiri3"/>
        <w:keepNext w:val="0"/>
        <w:widowControl w:val="0"/>
        <w:spacing w:after="100" w:afterAutospacing="1"/>
        <w:rPr>
          <w:sz w:val="24"/>
          <w:szCs w:val="24"/>
        </w:rPr>
      </w:pPr>
      <w:bookmarkStart w:id="173" w:name="_Toc420331840"/>
      <w:bookmarkStart w:id="174" w:name="_Toc420331909"/>
      <w:r>
        <w:rPr>
          <w:sz w:val="24"/>
        </w:rPr>
        <w:t>Lõige A – kontod, mida ei pea üle vaatama ega tuvastama ja mille kohta ei pea aruannet esitama</w:t>
      </w:r>
      <w:bookmarkEnd w:id="173"/>
      <w:bookmarkEnd w:id="174"/>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A sätestatakse erand, mille kohaselt ei pea üle vaatama ettevõtte olemasolevaid kontosid, mille koondjääk või -väärtus ei ületa 31. detsembri [xxxx]. aasta seisuga 250 000 USA dollarit seni, kuni konto koondjääk või -väärtus ei ületa iga järgneva aasta viimase päeva seisuga 250 000 USA dollarit. Piirmäär on kehtestatud selleks, et vähendada finantsasutuste nõuete täitmise koormat, tunnustades, et ettevõtte kontodega seotud hoolsusmeetmed on keerulisemad kui füüsiliste isikute kontodega seotud hoolsusmeetmed.</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Kuid lõike A kohaldamine sõltub sellest, kas (i) standardit rakendav jurisdiktsioon lubab aruandekohustuslikel finantsasutustel erandit kohaldada ja kas (ii) aruandekohustuslik finantsasutus otsustab seda kohaldada kõikide ettevõtte olemasolevate kontode suhtes või üksnes selgelt määratletud selliste kontode grupi suhtes. Seega kui jurisdiktsiooni rakenduseeskirjad ei näe sellist valikuvabadust ette või kui aruandekohustuslik finantsasutus sellist valikut ei tee, tuleb kõik ettevõtte olemasolevad kontod üle vaadata kooskõlas lõikega D.</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Kuigi lõigetes A ja B lahtiseks jäetud aasta määrab kindlaks ühtset aruandluse standardit rakendav jurisdiktsioon, eeldatakse, et valitakse sama aasta, mis valiti olemasoleva konto mõiste kohta.</w:t>
      </w:r>
    </w:p>
    <w:p w:rsidR="00010DDB" w:rsidRPr="00E74148" w:rsidRDefault="00010DDB" w:rsidP="00E74148">
      <w:pPr>
        <w:pStyle w:val="Pealkiri3"/>
        <w:keepNext w:val="0"/>
        <w:widowControl w:val="0"/>
        <w:spacing w:after="100" w:afterAutospacing="1"/>
        <w:rPr>
          <w:sz w:val="24"/>
          <w:szCs w:val="24"/>
        </w:rPr>
      </w:pPr>
      <w:bookmarkStart w:id="175" w:name="_Toc420331841"/>
      <w:bookmarkStart w:id="176" w:name="_Toc420331910"/>
      <w:r>
        <w:rPr>
          <w:sz w:val="24"/>
        </w:rPr>
        <w:t>Lõiked B ja C – kontod, mis tuleb üle vaadata ja mille kohta tuleb aruanne esitada</w:t>
      </w:r>
      <w:bookmarkEnd w:id="175"/>
      <w:bookmarkEnd w:id="176"/>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kohaselt peab ettevõtte olemasolevad kontod, mida ei ole lõikes A nimetatud (ehk mille koondjääk või -väärtus ületab mis tahes aasta 31. detsembri seisuga 250 000 USA dollarit), üle vaatama käesoleva jao lõikes D ette nähtud menetlust järgides. Seega tuleb ettevõtte olemasolev konto üle vaadata, kui</w:t>
      </w:r>
    </w:p>
    <w:p w:rsidR="00010DDB" w:rsidRPr="00E74148" w:rsidRDefault="00010DDB" w:rsidP="005C33A2">
      <w:pPr>
        <w:pStyle w:val="Loendinumber"/>
        <w:widowControl w:val="0"/>
        <w:numPr>
          <w:ilvl w:val="0"/>
          <w:numId w:val="19"/>
        </w:numPr>
        <w:spacing w:after="100" w:afterAutospacing="1"/>
        <w:rPr>
          <w:sz w:val="24"/>
          <w:szCs w:val="24"/>
        </w:rPr>
      </w:pPr>
      <w:r>
        <w:rPr>
          <w:sz w:val="24"/>
        </w:rPr>
        <w:t>selle koondjääk või -väärtus ületab 31. detsembri [xxxx]. aasta seisuga 250 000 USA dollarit või</w:t>
      </w:r>
    </w:p>
    <w:p w:rsidR="00010DDB" w:rsidRPr="00E74148" w:rsidRDefault="00010DDB" w:rsidP="005C33A2">
      <w:pPr>
        <w:pStyle w:val="Loendinumber"/>
        <w:widowControl w:val="0"/>
        <w:numPr>
          <w:ilvl w:val="0"/>
          <w:numId w:val="19"/>
        </w:numPr>
        <w:spacing w:after="100" w:afterAutospacing="1"/>
        <w:rPr>
          <w:sz w:val="24"/>
          <w:szCs w:val="24"/>
        </w:rPr>
      </w:pPr>
      <w:r>
        <w:rPr>
          <w:sz w:val="24"/>
        </w:rPr>
        <w:t>selle koondjääk või -väärtus ei ületa 31. detsembri [xxxx]. aasta seisuga 250 000 USA dollarit, kuid selle koondjääk või -väärtus mõne järgneva kalendriaasta viimase päeva seisuga ületab 250 000 USA dollarit.</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Kuid lõike C kohaselt tuleb lõikes A nimetamata ettevõtte olemasolevat kontot käsitada avaldatava kontona vaid juhul, kui konto omanik on üks või mitu ettevõtet, mis on kas</w:t>
      </w:r>
    </w:p>
    <w:p w:rsidR="00010DDB" w:rsidRPr="00E74148" w:rsidRDefault="00010DDB" w:rsidP="005C33A2">
      <w:pPr>
        <w:pStyle w:val="Loendinumber"/>
        <w:widowControl w:val="0"/>
        <w:numPr>
          <w:ilvl w:val="0"/>
          <w:numId w:val="20"/>
        </w:numPr>
        <w:spacing w:after="100" w:afterAutospacing="1"/>
        <w:rPr>
          <w:sz w:val="24"/>
          <w:szCs w:val="24"/>
        </w:rPr>
      </w:pPr>
      <w:r>
        <w:rPr>
          <w:sz w:val="24"/>
        </w:rPr>
        <w:t>avaldatavad isikud või</w:t>
      </w:r>
    </w:p>
    <w:p w:rsidR="00010DDB" w:rsidRPr="00E74148" w:rsidRDefault="00010DDB" w:rsidP="005C33A2">
      <w:pPr>
        <w:pStyle w:val="Loendinumber"/>
        <w:widowControl w:val="0"/>
        <w:numPr>
          <w:ilvl w:val="0"/>
          <w:numId w:val="20"/>
        </w:numPr>
        <w:spacing w:after="100" w:afterAutospacing="1"/>
        <w:rPr>
          <w:sz w:val="24"/>
          <w:szCs w:val="24"/>
        </w:rPr>
      </w:pPr>
      <w:r>
        <w:rPr>
          <w:sz w:val="24"/>
        </w:rPr>
        <w:t>passiivsed NFE-d ühe või mitme kontrolliva isikuga, kes on avaldatavad isikud.</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Ei loeta, et ettevõtte olemasolev konto, mille omanikuks on passiivne NFE ühe või mitme kontrolliva isikuga, kes on avaldatavad isikud, ei kvalifitseeru lõike C alusel avaldatava kontona üksnes selle tõttu, et ettevõte ise ei ole avaldatav isik või mõni passiivse NFE kontrollivatest isikutest on sama jurisdiktsiooni, mille resident on ka passiivne NFE, resident.</w:t>
      </w:r>
    </w:p>
    <w:p w:rsidR="00010DDB" w:rsidRPr="00E74148" w:rsidRDefault="00010DDB" w:rsidP="00E74148">
      <w:pPr>
        <w:pStyle w:val="Pealkiri3"/>
        <w:keepNext w:val="0"/>
        <w:widowControl w:val="0"/>
        <w:spacing w:after="100" w:afterAutospacing="1"/>
        <w:rPr>
          <w:sz w:val="24"/>
          <w:szCs w:val="24"/>
        </w:rPr>
      </w:pPr>
      <w:bookmarkStart w:id="177" w:name="_Toc420331842"/>
      <w:bookmarkStart w:id="178" w:name="_Toc420331911"/>
      <w:r>
        <w:rPr>
          <w:sz w:val="24"/>
        </w:rPr>
        <w:t>Lõige D – ülevaatamise kord</w:t>
      </w:r>
      <w:bookmarkEnd w:id="177"/>
      <w:bookmarkEnd w:id="178"/>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D on sätestatud ülevaatamise kord, et tuvastada ettevõtte olemasolevate kontode hulgast avaldatavaid kontosid. Selle korra kohaselt peavad aruandekohustuslikud finantsasutused tegema kindlaks</w:t>
      </w:r>
    </w:p>
    <w:p w:rsidR="00010DDB" w:rsidRPr="00E74148" w:rsidRDefault="00010DDB" w:rsidP="005C33A2">
      <w:pPr>
        <w:pStyle w:val="Loendinumber"/>
        <w:widowControl w:val="0"/>
        <w:numPr>
          <w:ilvl w:val="0"/>
          <w:numId w:val="21"/>
        </w:numPr>
        <w:spacing w:after="100" w:afterAutospacing="1"/>
        <w:rPr>
          <w:sz w:val="24"/>
          <w:szCs w:val="24"/>
        </w:rPr>
      </w:pPr>
      <w:r>
        <w:rPr>
          <w:sz w:val="24"/>
        </w:rPr>
        <w:t>kas ettevõtte olemasoleva konto omanikuks on üks või mitu avaldatavast isikust ettevõtet ja</w:t>
      </w:r>
    </w:p>
    <w:p w:rsidR="00010DDB" w:rsidRPr="00E74148" w:rsidRDefault="00010DDB" w:rsidP="005C33A2">
      <w:pPr>
        <w:pStyle w:val="Loendinumber"/>
        <w:widowControl w:val="0"/>
        <w:numPr>
          <w:ilvl w:val="0"/>
          <w:numId w:val="21"/>
        </w:numPr>
        <w:spacing w:after="100" w:afterAutospacing="1"/>
        <w:rPr>
          <w:sz w:val="24"/>
          <w:szCs w:val="24"/>
        </w:rPr>
      </w:pPr>
      <w:r>
        <w:rPr>
          <w:sz w:val="24"/>
        </w:rPr>
        <w:t>kas ettevõtte olemasoleva konto omanikuks on üks või mitu ettevõtet, mis on passiivsed NFE-d ühe või mitme kontrolliva isikuga, kes on avaldatavad isikud.</w:t>
      </w:r>
    </w:p>
    <w:p w:rsidR="00010DDB" w:rsidRPr="00E74148" w:rsidRDefault="00010DDB" w:rsidP="00E74148">
      <w:pPr>
        <w:pStyle w:val="Pealkiri4"/>
        <w:keepNext w:val="0"/>
        <w:widowControl w:val="0"/>
        <w:spacing w:after="100" w:afterAutospacing="1"/>
        <w:rPr>
          <w:sz w:val="24"/>
          <w:szCs w:val="24"/>
        </w:rPr>
      </w:pPr>
      <w:r>
        <w:rPr>
          <w:sz w:val="24"/>
        </w:rPr>
        <w:t>Lõike D punkt 1 – kontoomanike ülevaatamise kord</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D punktis 1 on sätestatud ülevaatamise kord, millega tuvastada, kas ettevõtte olemasoleva konto omanik on üks või mitu avaldatavast isikust ettevõtet. Kui mõni sellistest ettevõtetest on avaldatav isik, tuleb kontot käsitada avaldatava kontona.</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Aruandekohustuslik finantsasutus peab vaatama üle regulatiivsetel või kliendihalduse eesmärkidel kogutud teabe (sealhulgas rahapesu tõkestamise / klienditundmise põhimõtte kohaselt kogutud teabe), et teha kindlaks, kas teabest nähtub, et kontoomanik on avaldatava jurisdiktsiooni resident. Selle eesmärgi tähenduses hõlmab teave, millest nähtub, et </w:t>
      </w:r>
      <w:r w:rsidR="00010DDB">
        <w:rPr>
          <w:sz w:val="24"/>
        </w:rPr>
        <w:lastRenderedPageBreak/>
        <w:t>kontoomanik on avaldatava jurisdiktsiooni resident,</w:t>
      </w:r>
    </w:p>
    <w:p w:rsidR="00010DDB" w:rsidRPr="00E74148" w:rsidRDefault="00010DDB" w:rsidP="00E74148">
      <w:pPr>
        <w:pStyle w:val="Loenditpp"/>
        <w:widowControl w:val="0"/>
        <w:spacing w:after="100" w:afterAutospacing="1"/>
        <w:rPr>
          <w:sz w:val="24"/>
          <w:szCs w:val="24"/>
        </w:rPr>
      </w:pPr>
      <w:r>
        <w:rPr>
          <w:sz w:val="24"/>
        </w:rPr>
        <w:t>asutamis- või moodustamiskohta avaldatavas jurisdiktsioonis;</w:t>
      </w:r>
    </w:p>
    <w:p w:rsidR="00010DDB" w:rsidRPr="00E74148" w:rsidRDefault="00010DDB" w:rsidP="00E74148">
      <w:pPr>
        <w:pStyle w:val="Loenditpp"/>
        <w:widowControl w:val="0"/>
        <w:spacing w:after="100" w:afterAutospacing="1"/>
        <w:rPr>
          <w:sz w:val="24"/>
          <w:szCs w:val="24"/>
        </w:rPr>
      </w:pPr>
      <w:r>
        <w:rPr>
          <w:sz w:val="24"/>
        </w:rPr>
        <w:t>aadressi avaldatavas jurisdiktsioonis (näiteks kohaldatakse seda suure tõenäosusega ettevõtetele, mida käsitatakse maksualaselt läbipaistvana, ja see võib kajastada registrijärgset aadressi, peakontorit või tegevjuhtkonda); või</w:t>
      </w:r>
    </w:p>
    <w:p w:rsidR="00010DDB" w:rsidRPr="00E74148" w:rsidRDefault="00010DDB" w:rsidP="00E74148">
      <w:pPr>
        <w:pStyle w:val="Loenditpp"/>
        <w:widowControl w:val="0"/>
        <w:spacing w:after="100" w:afterAutospacing="1"/>
        <w:rPr>
          <w:sz w:val="24"/>
          <w:szCs w:val="24"/>
        </w:rPr>
      </w:pPr>
      <w:r>
        <w:rPr>
          <w:sz w:val="24"/>
        </w:rPr>
        <w:t>avaldatavas jurisdiktsioonis peetava usaldusfondi ühe või mitme valitseja aadressi.</w:t>
      </w:r>
    </w:p>
    <w:p w:rsidR="00010DDB" w:rsidRPr="00E74148" w:rsidRDefault="00010DDB" w:rsidP="00D0509E">
      <w:pPr>
        <w:pStyle w:val="Kehatekst"/>
        <w:widowControl w:val="0"/>
        <w:tabs>
          <w:tab w:val="clear" w:pos="850"/>
          <w:tab w:val="left" w:pos="567"/>
        </w:tabs>
        <w:spacing w:before="240" w:after="100" w:afterAutospacing="1"/>
        <w:ind w:firstLine="567"/>
        <w:rPr>
          <w:sz w:val="24"/>
          <w:szCs w:val="24"/>
        </w:rPr>
      </w:pPr>
      <w:r>
        <w:rPr>
          <w:sz w:val="24"/>
        </w:rPr>
        <w:t>Kuid alaline tegevuskoht (sealhulgas filiaal) avaldatavas jurisdiktsioonis (sealhulgas alalise tegevuskoha aadress) ei ole iseenesest viide asukohale sellel eesmärgil.</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D punkti 1 alapunktis b sätestatakse, et kui teabest nähtub, et kontoomanik on avaldatava jurisdiktsiooni resident, siis peab aruandekohustuslik finantsasutus käsitama kontot avaldatava kontona, välja arvatud juhul, kui ta hangib kontoomanikult kinnituse või teeb oma käsutuses oleva või avalikult kättesaadava teabe põhjal mõistlikult kindlaks, et kontoomanik ei ole selle avaldatava jurisdiktsiooni jä'rgi avaldatav isik.</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Avalikult kättesaadav teave hõlmab teavet, mille on avaldanud jurisdiktsiooni volitatud valitsusasutus (näiteks valitsus või selle allasutus või kohalik omavalitsus), näiteks maksuameti avaldatud nimekiri, mis sisaldab finantsasutuste nimesid ja tunnusnumbreid (näiteks Ameerika Ühendriikide maksuameti välisriikide finantsasutuste nimekiri); teavet avalikult ligipääsetavas registris, mida haldab või mille on volitanud jurisdiktsiooni volitatud valitsusasutus; reguleeritud väärtpaberiturul avaldatud teavet (vt VIII osa kommentaaride punkti 112); ja kontoomaniku mis tahes avalikult ligipääsetavat klassifikatsiooni, mis määrati kindlaks tegevusala normitud kodeerimissüsteemi alusel ja mille määras näiteks kaubandusorganisatsioon või kaubanduskoda ning mis on kooskõlas tavapärase äripraktikaga (vt VIII osa kommentaaride punkti 154). Selles kontekstis eeldatakse, et aruandekohustuslik finantsasutus märgib üles üle vaadatud teabe liigi ja teabe ülevaatamise kuupäeva.</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määrata kindlaks, kas ettevõtte olemasoleva konto omanik on üks või mitu avaldatavast isikust ettevõtet, võib aruandekohustuslik finantsasutus järgida lõike D punkti 1 alapunktides a ja b sätestatud juhiseid järjekorras, mis on antud asjaoludel kõige kohasem. Nii näiteks saab aruandekohustuslik finantsasutus määrata lõike D punkti 1 alapunkti b alusel kindlaks, et ettevõtte olemasoleva konto omanik on ettevõte, mis ei ole avaldatav isik (näiteks börsil noteeritud äriühing), mistõttu ei ole konto avaldatav konto.</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IV osa kommentaaride punktis 7 mainitud, on kontoomaniku kinnitus kinnitus, milles nähakse ette kontoomaniku staatus ja muu teave, mida aruandekohustuslik finantsasutus võib mõistlikult nõuda oma aruandluse ja hoolsusmeetmetega seotud kohustuste täitmiseks, näiteks kas kontoomanik on avaldatava jurisdiktsiooni maksuresident või kas kontoomanik on passiivne NFE. Ettevõtte olemasolevate kontode puhul kehtib kontoomaniku kinnitus vaid juhul, kui selle on allkirjastanud (või muul viisil kinnitanud) dokumente kontoomaniku nimel allkirjastama õigustatud isik, sellele on lisatud kuupäev hiljemalt selle kättesaamise päeval ja see sisaldab kontoomaniku</w:t>
      </w:r>
    </w:p>
    <w:p w:rsidR="00010DDB" w:rsidRPr="00E74148" w:rsidRDefault="00010DDB" w:rsidP="005C33A2">
      <w:pPr>
        <w:pStyle w:val="Loendinumber"/>
        <w:widowControl w:val="0"/>
        <w:numPr>
          <w:ilvl w:val="0"/>
          <w:numId w:val="22"/>
        </w:numPr>
        <w:spacing w:after="100" w:afterAutospacing="1"/>
        <w:rPr>
          <w:sz w:val="24"/>
          <w:szCs w:val="24"/>
        </w:rPr>
      </w:pPr>
      <w:r>
        <w:rPr>
          <w:sz w:val="24"/>
        </w:rPr>
        <w:t>nime,</w:t>
      </w:r>
    </w:p>
    <w:p w:rsidR="00010DDB" w:rsidRPr="00E74148" w:rsidRDefault="00010DDB" w:rsidP="005C33A2">
      <w:pPr>
        <w:pStyle w:val="Loendinumber"/>
        <w:widowControl w:val="0"/>
        <w:numPr>
          <w:ilvl w:val="0"/>
          <w:numId w:val="22"/>
        </w:numPr>
        <w:spacing w:after="100" w:afterAutospacing="1"/>
        <w:rPr>
          <w:sz w:val="24"/>
          <w:szCs w:val="24"/>
        </w:rPr>
      </w:pPr>
      <w:r>
        <w:rPr>
          <w:sz w:val="24"/>
        </w:rPr>
        <w:t>aadressi,</w:t>
      </w:r>
    </w:p>
    <w:p w:rsidR="00010DDB" w:rsidRPr="00E74148" w:rsidRDefault="00010DDB" w:rsidP="005C33A2">
      <w:pPr>
        <w:pStyle w:val="Loendinumber"/>
        <w:widowControl w:val="0"/>
        <w:numPr>
          <w:ilvl w:val="0"/>
          <w:numId w:val="22"/>
        </w:numPr>
        <w:spacing w:after="100" w:afterAutospacing="1"/>
        <w:rPr>
          <w:sz w:val="24"/>
          <w:szCs w:val="24"/>
        </w:rPr>
      </w:pPr>
      <w:r>
        <w:rPr>
          <w:sz w:val="24"/>
        </w:rPr>
        <w:t>maksuresidentsuse jurisdiktsiooni, ja</w:t>
      </w:r>
    </w:p>
    <w:p w:rsidR="00010DDB" w:rsidRPr="00E74148" w:rsidRDefault="00010DDB" w:rsidP="005C33A2">
      <w:pPr>
        <w:pStyle w:val="Loendinumber"/>
        <w:widowControl w:val="0"/>
        <w:numPr>
          <w:ilvl w:val="0"/>
          <w:numId w:val="22"/>
        </w:numPr>
        <w:spacing w:after="100" w:afterAutospacing="1"/>
        <w:rPr>
          <w:sz w:val="24"/>
          <w:szCs w:val="24"/>
        </w:rPr>
      </w:pPr>
      <w:r>
        <w:rPr>
          <w:sz w:val="24"/>
        </w:rPr>
        <w:t>iga avaldatava jurisdiktsiooni TIN-i.</w:t>
      </w:r>
    </w:p>
    <w:p w:rsidR="00010DDB" w:rsidRPr="00E74148" w:rsidRDefault="00010DDB" w:rsidP="00D0509E">
      <w:pPr>
        <w:pStyle w:val="Kehatekst"/>
        <w:widowControl w:val="0"/>
        <w:tabs>
          <w:tab w:val="clear" w:pos="850"/>
          <w:tab w:val="left" w:pos="567"/>
        </w:tabs>
        <w:spacing w:before="240" w:after="100" w:afterAutospacing="1"/>
        <w:ind w:firstLine="567"/>
        <w:rPr>
          <w:sz w:val="24"/>
          <w:szCs w:val="24"/>
        </w:rPr>
      </w:pPr>
      <w:r>
        <w:rPr>
          <w:sz w:val="24"/>
        </w:rPr>
        <w:t xml:space="preserve">Aruandekohustuslik finantsasutus võib kinnituse eeltäita, lisades sinna kontoomaniku </w:t>
      </w:r>
      <w:r>
        <w:rPr>
          <w:sz w:val="24"/>
        </w:rPr>
        <w:lastRenderedPageBreak/>
        <w:t>kohta käiva teabe, välja arvatud maksuresidentsuse jurisdiktsiooni, niivõrd, kuivõrd need andmed on finantsasutuse toimikus juba olemas.</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kinnitust allkirjastama volitatud isik on üldjuhul äriühingu ametnik või direktor, ühingu osanik, usaldusfondi valitseja, eelnimetatutega samaväärne isik ja muu isik, kellele kontoomanik on andnud kirjaliku volituse dokumentide allkirjastamiseks enda nimel.</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 ettevõtte olemasolevate kontode kohta võib sisaldada ka kontoomaniku staatust. Sellisel juhul võib kontoomaniku staatus olla</w:t>
      </w:r>
    </w:p>
    <w:p w:rsidR="00010DDB" w:rsidRPr="00E74148" w:rsidRDefault="00010DDB" w:rsidP="005C33A2">
      <w:pPr>
        <w:pStyle w:val="Loendinumber"/>
        <w:widowControl w:val="0"/>
        <w:numPr>
          <w:ilvl w:val="0"/>
          <w:numId w:val="23"/>
        </w:numPr>
        <w:spacing w:after="100" w:afterAutospacing="1"/>
        <w:rPr>
          <w:sz w:val="24"/>
          <w:szCs w:val="24"/>
        </w:rPr>
      </w:pPr>
      <w:r>
        <w:rPr>
          <w:sz w:val="24"/>
        </w:rPr>
        <w:t>finantsasutus:</w:t>
      </w:r>
    </w:p>
    <w:p w:rsidR="00010DDB" w:rsidRPr="00E74148" w:rsidRDefault="00010DDB" w:rsidP="005C33A2">
      <w:pPr>
        <w:pStyle w:val="Loendinumber"/>
        <w:widowControl w:val="0"/>
        <w:numPr>
          <w:ilvl w:val="1"/>
          <w:numId w:val="23"/>
        </w:numPr>
        <w:spacing w:after="100" w:afterAutospacing="1"/>
        <w:rPr>
          <w:sz w:val="24"/>
          <w:szCs w:val="24"/>
        </w:rPr>
      </w:pPr>
      <w:r>
        <w:rPr>
          <w:sz w:val="24"/>
        </w:rPr>
        <w:t>VIII osa lõike A punkti 6 alapunktis b nimetatud investeerimisettevõte,</w:t>
      </w:r>
    </w:p>
    <w:p w:rsidR="00010DDB" w:rsidRPr="00E74148" w:rsidRDefault="00010DDB" w:rsidP="005C33A2">
      <w:pPr>
        <w:pStyle w:val="Loendinumber"/>
        <w:widowControl w:val="0"/>
        <w:numPr>
          <w:ilvl w:val="1"/>
          <w:numId w:val="23"/>
        </w:numPr>
        <w:spacing w:after="100" w:afterAutospacing="1"/>
        <w:rPr>
          <w:sz w:val="24"/>
          <w:szCs w:val="24"/>
        </w:rPr>
      </w:pPr>
      <w:r>
        <w:rPr>
          <w:sz w:val="24"/>
        </w:rPr>
        <w:t>finantsasutus (muu),</w:t>
      </w:r>
    </w:p>
    <w:p w:rsidR="00010DDB" w:rsidRPr="00E74148" w:rsidRDefault="00010DDB" w:rsidP="005C33A2">
      <w:pPr>
        <w:pStyle w:val="Loendinumber"/>
        <w:widowControl w:val="0"/>
        <w:numPr>
          <w:ilvl w:val="0"/>
          <w:numId w:val="23"/>
        </w:numPr>
        <w:spacing w:after="100" w:afterAutospacing="1"/>
        <w:rPr>
          <w:sz w:val="24"/>
          <w:szCs w:val="24"/>
        </w:rPr>
      </w:pPr>
      <w:r>
        <w:rPr>
          <w:sz w:val="24"/>
        </w:rPr>
        <w:t>NFE:</w:t>
      </w:r>
    </w:p>
    <w:p w:rsidR="00010DDB" w:rsidRPr="00E74148" w:rsidRDefault="00010DDB" w:rsidP="005C33A2">
      <w:pPr>
        <w:pStyle w:val="Loendinumber"/>
        <w:widowControl w:val="0"/>
        <w:numPr>
          <w:ilvl w:val="1"/>
          <w:numId w:val="23"/>
        </w:numPr>
        <w:spacing w:after="100" w:afterAutospacing="1"/>
        <w:rPr>
          <w:sz w:val="24"/>
          <w:szCs w:val="24"/>
        </w:rPr>
      </w:pPr>
      <w:r>
        <w:rPr>
          <w:sz w:val="24"/>
        </w:rPr>
        <w:t>börsil noteeritud äriühing või selle filiaal,</w:t>
      </w:r>
    </w:p>
    <w:p w:rsidR="00010DDB" w:rsidRPr="00E74148" w:rsidRDefault="00010DDB" w:rsidP="005C33A2">
      <w:pPr>
        <w:pStyle w:val="Loendinumber"/>
        <w:widowControl w:val="0"/>
        <w:numPr>
          <w:ilvl w:val="1"/>
          <w:numId w:val="23"/>
        </w:numPr>
        <w:spacing w:after="100" w:afterAutospacing="1"/>
        <w:rPr>
          <w:sz w:val="24"/>
          <w:szCs w:val="24"/>
        </w:rPr>
      </w:pPr>
      <w:r>
        <w:rPr>
          <w:sz w:val="24"/>
        </w:rPr>
        <w:t>riigiettevõte,</w:t>
      </w:r>
    </w:p>
    <w:p w:rsidR="00010DDB" w:rsidRPr="00E74148" w:rsidRDefault="00010DDB" w:rsidP="005C33A2">
      <w:pPr>
        <w:pStyle w:val="Loendinumber"/>
        <w:widowControl w:val="0"/>
        <w:numPr>
          <w:ilvl w:val="1"/>
          <w:numId w:val="23"/>
        </w:numPr>
        <w:spacing w:after="100" w:afterAutospacing="1"/>
        <w:rPr>
          <w:sz w:val="24"/>
          <w:szCs w:val="24"/>
        </w:rPr>
      </w:pPr>
      <w:r>
        <w:rPr>
          <w:sz w:val="24"/>
        </w:rPr>
        <w:t>rahvusvaheline organisatsioon,</w:t>
      </w:r>
    </w:p>
    <w:p w:rsidR="00010DDB" w:rsidRPr="00E74148" w:rsidRDefault="00010DDB" w:rsidP="005C33A2">
      <w:pPr>
        <w:pStyle w:val="Loendinumber"/>
        <w:widowControl w:val="0"/>
        <w:numPr>
          <w:ilvl w:val="1"/>
          <w:numId w:val="23"/>
        </w:numPr>
        <w:spacing w:after="100" w:afterAutospacing="1"/>
        <w:rPr>
          <w:sz w:val="24"/>
          <w:szCs w:val="24"/>
        </w:rPr>
      </w:pPr>
      <w:r>
        <w:rPr>
          <w:sz w:val="24"/>
        </w:rPr>
        <w:t>aktiivne NFE (muu kui punktides 1–3 nimetatu),</w:t>
      </w:r>
    </w:p>
    <w:p w:rsidR="00010DDB" w:rsidRPr="00E74148" w:rsidRDefault="00010DDB" w:rsidP="005C33A2">
      <w:pPr>
        <w:pStyle w:val="Loendinumber"/>
        <w:widowControl w:val="0"/>
        <w:numPr>
          <w:ilvl w:val="1"/>
          <w:numId w:val="23"/>
        </w:numPr>
        <w:spacing w:after="100" w:afterAutospacing="1"/>
        <w:rPr>
          <w:sz w:val="24"/>
          <w:szCs w:val="24"/>
        </w:rPr>
      </w:pPr>
      <w:r>
        <w:rPr>
          <w:sz w:val="24"/>
        </w:rPr>
        <w:t>passiivne NFE (välja arvatud VIII osa lõike A punkti 6 alapunktis b nimetatud investeerimisettevõte).</w:t>
      </w:r>
    </w:p>
    <w:p w:rsidR="00010DDB" w:rsidRPr="00E74148" w:rsidRDefault="00010DDB" w:rsidP="00D0509E">
      <w:pPr>
        <w:pStyle w:val="Kehatekst"/>
        <w:widowControl w:val="0"/>
        <w:tabs>
          <w:tab w:val="clear" w:pos="850"/>
          <w:tab w:val="left" w:pos="567"/>
        </w:tabs>
        <w:spacing w:before="240" w:after="100" w:afterAutospacing="1"/>
        <w:ind w:firstLine="567"/>
        <w:rPr>
          <w:sz w:val="24"/>
          <w:szCs w:val="24"/>
        </w:rPr>
      </w:pPr>
      <w:r>
        <w:rPr>
          <w:sz w:val="24"/>
        </w:rPr>
        <w:t>Kontoomaniku kinnitust küsides peavad aruandekohustuslikud finantsasutused jagama kontoomanikele teavet, mis on viimastele vajalik oma staatuse määramiseks (näiteks VIII osa lõike D punktis 9 nimetatud aktiivse NFE mõiste määratlus).</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Füüsilise isiku uute kontodega seotud kontoomaniku kinnituse kehtivusele esitatavad nõuded kehtivad ka ettevõtte olemasolevate kontodega seotud kontoomaniku kinnituse kehtivusele (vt IV osa kommentaaride punkte 7–16). Sama kehtib ka kontoomaniku kinnituse vigade parandamisele, nõudele hankida kontopõhine kinnitus ja teiste isikute kogutud dokumentidele (vt IV osa kommentaaride punkte 17–21).</w:t>
      </w:r>
    </w:p>
    <w:p w:rsidR="00010DDB" w:rsidRPr="00E74148" w:rsidRDefault="00010DDB" w:rsidP="00E74148">
      <w:pPr>
        <w:pStyle w:val="Pealkiri4"/>
        <w:keepNext w:val="0"/>
        <w:widowControl w:val="0"/>
        <w:spacing w:after="100" w:afterAutospacing="1"/>
        <w:rPr>
          <w:sz w:val="24"/>
          <w:szCs w:val="24"/>
        </w:rPr>
      </w:pPr>
      <w:r>
        <w:rPr>
          <w:sz w:val="24"/>
        </w:rPr>
        <w:t>Lõike D punkt 2 – kontrollivate isikute ülevaatamise kord</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D punktis 2 on sätestatud ülevaatamise kord, millega tuvastada, kas ettevõtte olemasoleva konto omanik on üks või mitu ettevõtet, mis on passiivsed NFE-d ühe või mitme kontrolliva isikuga, kes on avaldatavad isikud. Kui mõni passiivset NFE-d kontrolliv isik on avaldatav isik, siis tuleb kontot käsitada avaldatava kontona (isegi kui kontrolliv isik on passiivse NFE-ga sama jurisdiktsiooni resident).</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Seda tehes peab aruandekohustuslik finantsasutus järgima lõike D punkti 2 alapunktides a kuni c toodud juhiseid järjekorras, mis on antud asjaoludel kõige kohasem. Nende punktide eesmärk on teha kindlaks</w:t>
      </w:r>
    </w:p>
    <w:p w:rsidR="00010DDB" w:rsidRPr="00E74148" w:rsidRDefault="00010DDB" w:rsidP="005C33A2">
      <w:pPr>
        <w:pStyle w:val="Loendinumber"/>
        <w:widowControl w:val="0"/>
        <w:numPr>
          <w:ilvl w:val="0"/>
          <w:numId w:val="24"/>
        </w:numPr>
        <w:spacing w:after="100" w:afterAutospacing="1"/>
        <w:rPr>
          <w:sz w:val="24"/>
          <w:szCs w:val="24"/>
        </w:rPr>
      </w:pPr>
      <w:r>
        <w:rPr>
          <w:sz w:val="24"/>
        </w:rPr>
        <w:t>kas kontoomanik on passiivne NFE,</w:t>
      </w:r>
    </w:p>
    <w:p w:rsidR="00010DDB" w:rsidRPr="00E74148" w:rsidRDefault="00010DDB" w:rsidP="005C33A2">
      <w:pPr>
        <w:pStyle w:val="Loendinumber"/>
        <w:widowControl w:val="0"/>
        <w:numPr>
          <w:ilvl w:val="0"/>
          <w:numId w:val="24"/>
        </w:numPr>
        <w:spacing w:after="100" w:afterAutospacing="1"/>
        <w:rPr>
          <w:sz w:val="24"/>
          <w:szCs w:val="24"/>
        </w:rPr>
      </w:pPr>
      <w:r>
        <w:rPr>
          <w:sz w:val="24"/>
        </w:rPr>
        <w:t>sellist passiivset NFE-d kontrollivad isikud, ja</w:t>
      </w:r>
    </w:p>
    <w:p w:rsidR="00010DDB" w:rsidRPr="00E74148" w:rsidRDefault="00010DDB" w:rsidP="005C33A2">
      <w:pPr>
        <w:pStyle w:val="Loendinumber"/>
        <w:widowControl w:val="0"/>
        <w:numPr>
          <w:ilvl w:val="0"/>
          <w:numId w:val="24"/>
        </w:numPr>
        <w:spacing w:after="100" w:afterAutospacing="1"/>
        <w:rPr>
          <w:sz w:val="24"/>
          <w:szCs w:val="24"/>
        </w:rPr>
      </w:pPr>
      <w:r>
        <w:rPr>
          <w:sz w:val="24"/>
        </w:rPr>
        <w:t>kas mõni kontrollivatest isikutest on avaldatav isik.</w:t>
      </w:r>
    </w:p>
    <w:p w:rsidR="00010DDB" w:rsidRPr="00D0509E" w:rsidRDefault="00F15FDA" w:rsidP="00324DEF">
      <w:pPr>
        <w:pStyle w:val="Num-DocParagraph"/>
        <w:widowControl w:val="0"/>
        <w:numPr>
          <w:ilvl w:val="0"/>
          <w:numId w:val="73"/>
        </w:numPr>
        <w:tabs>
          <w:tab w:val="clear" w:pos="850"/>
          <w:tab w:val="left" w:pos="567"/>
        </w:tabs>
        <w:spacing w:before="240" w:after="100" w:afterAutospacing="1"/>
        <w:ind w:left="0" w:firstLine="0"/>
        <w:rPr>
          <w:spacing w:val="-2"/>
          <w:sz w:val="24"/>
          <w:szCs w:val="24"/>
        </w:rPr>
      </w:pPr>
      <w:r w:rsidRPr="00D0509E">
        <w:rPr>
          <w:spacing w:val="-2"/>
          <w:sz w:val="24"/>
          <w:szCs w:val="24"/>
        </w:rPr>
        <w:fldChar w:fldCharType="begin"/>
      </w:r>
      <w:r w:rsidR="00010DDB" w:rsidRPr="00D0509E">
        <w:rPr>
          <w:spacing w:val="-2"/>
          <w:sz w:val="24"/>
          <w:szCs w:val="24"/>
        </w:rPr>
        <w:instrText>MACROBUTTON NUMBERING</w:instrText>
      </w:r>
      <w:r w:rsidRPr="00D0509E">
        <w:rPr>
          <w:spacing w:val="-2"/>
          <w:sz w:val="24"/>
          <w:szCs w:val="24"/>
        </w:rPr>
        <w:fldChar w:fldCharType="end"/>
      </w:r>
      <w:r w:rsidR="00010DDB" w:rsidRPr="00D0509E">
        <w:rPr>
          <w:spacing w:val="-2"/>
          <w:sz w:val="24"/>
        </w:rPr>
        <w:t xml:space="preserve">Lõike D punkti 2 alapunkti a kohaselt peab aruandekohustuslik finantsasutus selleks, et teha kindlaks, kas kontoomanik on passiivne NFE, hankima kontoomanikult kinnituse tema staatuse kindlaksmääramiseks, välja arvatud juhul, kui aruandekohustusliku finantsasutuse </w:t>
      </w:r>
      <w:r w:rsidR="00010DDB" w:rsidRPr="00D0509E">
        <w:rPr>
          <w:spacing w:val="-2"/>
          <w:sz w:val="24"/>
        </w:rPr>
        <w:lastRenderedPageBreak/>
        <w:t>käsutuses on teave või on võimalik avalikult kätte saada teavet (vt punkti 12 eespool), mille alusel on mõistlikult võimalik kindlaks teha, et kontoomanik on aktiivne NFE või finantsasutus, välja arvatud mitteosalev professionaalselt juhitav investeerimisettevõte (see tähendab VIII osa lõike A punkti 6 alapunktis b kirjeldatud investeerimisasutus, mis ei ole osaleva jurisdiktsiooni finantsasutus). Näiteks võib aruandekohustuslik finantsasutus mõistlikult kindlaks teha, et kontoomanik on aktiivne NFE, kui kontoomanikul on seaduslikult keelatud passiivse sissetuleku saamiseks vajalik tegevus või toimingud või vara omamine (vt VIII osa kommentaaride punkti 126). Kontoomaniku staatust kindlaksmäärav kinnitus peab olema kooskõlas ettevõtte olemasolevate kontodega seotud kontoomaniku kinnituse kehtivusele esitatavate nõuetega (vt punkte 13–17 eespool). Aruandekohustuslik finantsasutus, kes ei suuda kindlaks teha, et kontoomanik on aktiivne NFE või finantsasutus, mis ei ole mitteosalev professionaalselt juhitav investeerimisettevõte, peab eeldama, et kontoomanik on passiivne NFE.</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D punkti 2 alapunkti b kohaselt võib aruandekohustuslik finantsasutus kontoomanikku kontrollivate isikute tuvastamiseks tugineda teabele, mis on kogutud ja mida säilitatakse rahapesu tõkestamise / klienditundmise põhimõtte kohaselt.</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teha kindlaks, kas passiivset NFE-d kontrolliv isik on avaldatav isik, võib aruandekohustuslik finantsasutus samuti tugineda teabele, mis on kogutud ja mida säilitatakse rahapesu tõkestamise / klienditundmise põhimõtte kohaselt. Kuid lõike D punkti 2 alapunkti c alapunkti (ii) kohaselt tuleb juhul, kui ettevõtte olemasoleva konto jääk või väärtus ületab 1 000 000 USA dollarit, kontoomanikult või kontrollivalt isikult hankida kinnitus, mille võib esitada samas kinnituses, mille esitab kontoomanik omaenda staatuse tõendamiseks. Kontrolliva isikuga seotud kinnitus kehtib vaid juhul, kui selle on allkirjastanud (või muul viisil kinnitanud) kontrolliv isik või dokumente kontoomaniku või kontrolliva isiku nimel allkirjastama õigustatud isik, sellele on lisatud kuupäev hiljemalt selle kättesaamise päeval ja see sisaldab iga kontrolliva isiku</w:t>
      </w:r>
    </w:p>
    <w:p w:rsidR="00010DDB" w:rsidRPr="00E74148" w:rsidRDefault="00010DDB" w:rsidP="005C33A2">
      <w:pPr>
        <w:pStyle w:val="Loendinumber"/>
        <w:widowControl w:val="0"/>
        <w:numPr>
          <w:ilvl w:val="0"/>
          <w:numId w:val="25"/>
        </w:numPr>
        <w:spacing w:after="100" w:afterAutospacing="1"/>
        <w:rPr>
          <w:sz w:val="24"/>
          <w:szCs w:val="24"/>
        </w:rPr>
      </w:pPr>
      <w:r>
        <w:rPr>
          <w:sz w:val="24"/>
        </w:rPr>
        <w:t>nime,</w:t>
      </w:r>
    </w:p>
    <w:p w:rsidR="00010DDB" w:rsidRPr="00E74148" w:rsidRDefault="00010DDB" w:rsidP="005C33A2">
      <w:pPr>
        <w:pStyle w:val="Loendinumber"/>
        <w:widowControl w:val="0"/>
        <w:numPr>
          <w:ilvl w:val="0"/>
          <w:numId w:val="25"/>
        </w:numPr>
        <w:spacing w:after="100" w:afterAutospacing="1"/>
        <w:rPr>
          <w:sz w:val="24"/>
          <w:szCs w:val="24"/>
        </w:rPr>
      </w:pPr>
      <w:r>
        <w:rPr>
          <w:sz w:val="24"/>
        </w:rPr>
        <w:t>aadressi,</w:t>
      </w:r>
    </w:p>
    <w:p w:rsidR="00010DDB" w:rsidRPr="00E74148" w:rsidRDefault="00010DDB" w:rsidP="005C33A2">
      <w:pPr>
        <w:pStyle w:val="Loendinumber"/>
        <w:widowControl w:val="0"/>
        <w:numPr>
          <w:ilvl w:val="0"/>
          <w:numId w:val="25"/>
        </w:numPr>
        <w:spacing w:after="100" w:afterAutospacing="1"/>
        <w:rPr>
          <w:sz w:val="24"/>
          <w:szCs w:val="24"/>
        </w:rPr>
      </w:pPr>
      <w:r>
        <w:rPr>
          <w:sz w:val="24"/>
        </w:rPr>
        <w:t>maksuresidentsuse jurisdiktsiooni,</w:t>
      </w:r>
    </w:p>
    <w:p w:rsidR="00010DDB" w:rsidRPr="00E74148" w:rsidRDefault="00010DDB" w:rsidP="005C33A2">
      <w:pPr>
        <w:pStyle w:val="Loendinumber"/>
        <w:widowControl w:val="0"/>
        <w:numPr>
          <w:ilvl w:val="0"/>
          <w:numId w:val="25"/>
        </w:numPr>
        <w:spacing w:after="100" w:afterAutospacing="1"/>
        <w:rPr>
          <w:sz w:val="24"/>
          <w:szCs w:val="24"/>
        </w:rPr>
      </w:pPr>
      <w:r>
        <w:rPr>
          <w:sz w:val="24"/>
        </w:rPr>
        <w:t>avaldatava jurisdiktsiooni TIN-i (vt IV osa kommentaaride punkti 8) ja</w:t>
      </w:r>
    </w:p>
    <w:p w:rsidR="00010DDB" w:rsidRPr="00E74148" w:rsidRDefault="00010DDB" w:rsidP="005C33A2">
      <w:pPr>
        <w:pStyle w:val="Loendinumber"/>
        <w:widowControl w:val="0"/>
        <w:numPr>
          <w:ilvl w:val="0"/>
          <w:numId w:val="25"/>
        </w:numPr>
        <w:spacing w:after="100" w:afterAutospacing="1"/>
        <w:rPr>
          <w:sz w:val="24"/>
          <w:szCs w:val="24"/>
        </w:rPr>
      </w:pPr>
      <w:r>
        <w:rPr>
          <w:sz w:val="24"/>
        </w:rPr>
        <w:t>sünniaega (vt IV osa kommentaaride punkti 8).</w:t>
      </w:r>
    </w:p>
    <w:p w:rsidR="00010DDB" w:rsidRPr="00E74148" w:rsidRDefault="00010DDB" w:rsidP="00D0509E">
      <w:pPr>
        <w:pStyle w:val="Kehatekst"/>
        <w:widowControl w:val="0"/>
        <w:tabs>
          <w:tab w:val="clear" w:pos="850"/>
          <w:tab w:val="left" w:pos="567"/>
        </w:tabs>
        <w:spacing w:before="240" w:after="100" w:afterAutospacing="1"/>
        <w:ind w:firstLine="567"/>
        <w:rPr>
          <w:sz w:val="24"/>
          <w:szCs w:val="24"/>
        </w:rPr>
      </w:pPr>
      <w:r>
        <w:rPr>
          <w:sz w:val="24"/>
        </w:rPr>
        <w:t>Aruandekohustuslik finantsasutus võib kinnituse eeltäita, lisades sinna kontrolliva isiku kohta käiva teabe, välja arvatud maksuresidentsuse jurisdiktsiooni, niivõrd, kuivõrd need andmed on finantsasutuse toimikus juba olemas.</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Füüsilise isiku uute kontodega seotud kontoomaniku kinnituse kehtivusele esitatavad nõuded kehtivad ka kinnitusele, millega tehakse kindlaks, kas passiivset NFE-d kontrolliv isik on avaldatav isik (vt IV osa kommentaaride punkte 7–16). Sama kehtib ka kontoomaniku kinnituse vigade parandamisele, nõudele hankida kontopõhine kinnitus ja teiste isikute kogutud dokumentidele (vt IV osa kommentaaride punkte 17–21).</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kinnitus tuleb hankida, kuid seda ei hangita passiivset NFE-d kontrolliva isiku kohta, peab aruandekohustuslik finantsasutus tuginema III osa lõike B punktis 2 nimetatud tunnustele, mis on tal toimikus sellise kontrolliva isiku kohta olemas, et teha kindlaks, kas kontrolliv isik on avaldatav isik. Kui aruandekohustusliku finantsasutuse toimikus selliseid tunnuseid ei leidu, siis ei ole edasine tegevus vajalik seni, kuni muutuvad asjaolud, mille tulemusena seostatakse kontoga üht või mitut kontrolliva isikuga seotud tunnust.</w:t>
      </w:r>
    </w:p>
    <w:p w:rsidR="00010DDB" w:rsidRPr="00E74148" w:rsidRDefault="00010DDB" w:rsidP="00E74148">
      <w:pPr>
        <w:pStyle w:val="Pealkiri3"/>
        <w:keepNext w:val="0"/>
        <w:widowControl w:val="0"/>
        <w:spacing w:after="100" w:afterAutospacing="1"/>
        <w:rPr>
          <w:sz w:val="24"/>
          <w:szCs w:val="24"/>
        </w:rPr>
      </w:pPr>
      <w:bookmarkStart w:id="179" w:name="_Toc420331843"/>
      <w:bookmarkStart w:id="180" w:name="_Toc420331912"/>
      <w:r>
        <w:rPr>
          <w:sz w:val="24"/>
        </w:rPr>
        <w:lastRenderedPageBreak/>
        <w:t>Lõige E – ülevaatamise ja lisatoimingute tähtaeg</w:t>
      </w:r>
      <w:bookmarkEnd w:id="179"/>
      <w:bookmarkEnd w:id="180"/>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E punktides 1 ja 2 sätestatakse aeg, mil tuleb teha ülevaatus ettevõtte olemasolevate kontode hulgast avaldatavate kontode tuvastamiseks. Selle sätte kohaselt tuleb</w:t>
      </w:r>
    </w:p>
    <w:p w:rsidR="00010DDB" w:rsidRPr="00E74148" w:rsidRDefault="00010DDB" w:rsidP="005C33A2">
      <w:pPr>
        <w:pStyle w:val="Loendinumber"/>
        <w:widowControl w:val="0"/>
        <w:numPr>
          <w:ilvl w:val="0"/>
          <w:numId w:val="26"/>
        </w:numPr>
        <w:spacing w:after="100" w:afterAutospacing="1"/>
        <w:rPr>
          <w:sz w:val="24"/>
          <w:szCs w:val="24"/>
        </w:rPr>
      </w:pPr>
      <w:r>
        <w:rPr>
          <w:sz w:val="24"/>
        </w:rPr>
        <w:t>kontod, mille koondjääk või -väärtus ületab 31. detsembri [xxxx]. aasta seisuga 250 000 USA dollarit, üle vaadata 31. detsembriks [xxxx]. aastal ja</w:t>
      </w:r>
    </w:p>
    <w:p w:rsidR="00010DDB" w:rsidRPr="00E74148" w:rsidRDefault="00010DDB" w:rsidP="005C33A2">
      <w:pPr>
        <w:pStyle w:val="Loendinumber"/>
        <w:widowControl w:val="0"/>
        <w:numPr>
          <w:ilvl w:val="0"/>
          <w:numId w:val="26"/>
        </w:numPr>
        <w:spacing w:after="100" w:afterAutospacing="1"/>
        <w:rPr>
          <w:sz w:val="24"/>
          <w:szCs w:val="24"/>
        </w:rPr>
      </w:pPr>
      <w:r>
        <w:rPr>
          <w:sz w:val="24"/>
        </w:rPr>
        <w:t>kontod, mille koondjääk või -väärtus ei ületa 31. detsembri [xxxx]. aasta seisuga 250 000 USA dollarit, kuid järgneva aasta 31. detsembri seisuga ületab 250 000 USA dollarit, üle vaadata kalendriaastal, mis järgneb aastale, mil kontojääk või -väärtus ületas 250 000 USA dollarit.</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Kuigi lõike E punktides 1 ja 2 lahtiseks jäetud aasta määrab kindlaks ühtset aruandluse standardit rakendav jurisdiktsioon, eeldatakse, et valitakse sama aasta, mis valiti olemasoleva konto mõiste kohta. Kuid lõike E punktis 1 viidatud teise aasta korral eeldatakse, et valitakse aasta, mis ei ole varasem kui teine kalendriaasta pärast olemasoleva konto mõiste kohta valitud aastat.</w:t>
      </w:r>
    </w:p>
    <w:p w:rsidR="00010DDB" w:rsidRPr="00E74148" w:rsidRDefault="00F15FDA" w:rsidP="00324DEF">
      <w:pPr>
        <w:pStyle w:val="Num-DocParagraph"/>
        <w:widowControl w:val="0"/>
        <w:numPr>
          <w:ilvl w:val="0"/>
          <w:numId w:val="73"/>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E punktis 3 sätestatakse ettevõtte olemasolevatele kontodele kohaldatav lisatoiming: kui ettevõtte olemasoleva kontoga seotud asjaolud muutuvad, mille tõttu saab aruandekohustuslik finantsasutus teadlikuks või tal tekib alus arvata, et kontoga seostatav kontoomaniku kinnitus või muu dokument ei ole õige või usaldusväärne, siis peab aruandekohustuslik finantsasutus konto staatuse käesoleva osa lõike D kohaselt uuesti kindlaks määrama. Dokumentaalsetele tõenditele kohaldatavad teadmisstandardid kehtivad ka dokumentidele, millele lõikes D ette nähtud toimingute kohaselt tuginetakse (vt IV osa kommentaaride punkti 14 ja VII osa kommentaaride punkte 2–3). Sellisel juhul peab aruandekohustuslik finantsasutus tegema allolevaid toiminguid kas enne asjaomase kalendriaasta või muu asjakohase aruandlusperioodi viimast päeva või enne 90 kalendripäeva möödumist asjaolude muutumise teatest või avastamisest, kumb tahes on hilisem.</w:t>
      </w:r>
    </w:p>
    <w:p w:rsidR="00010DDB" w:rsidRPr="00E74148" w:rsidRDefault="00010DDB" w:rsidP="00E74148">
      <w:pPr>
        <w:pStyle w:val="Loenditpp"/>
        <w:widowControl w:val="0"/>
        <w:spacing w:after="100" w:afterAutospacing="1"/>
        <w:rPr>
          <w:sz w:val="24"/>
          <w:szCs w:val="24"/>
        </w:rPr>
      </w:pPr>
      <w:r>
        <w:rPr>
          <w:sz w:val="24"/>
        </w:rPr>
        <w:t>Seoses tuvastamisega, kas kontoomanik on avaldatav isik, peab aruandekohustuslik finantsasutus hankima kas (i) kontoomaniku kinnituse või (ii) mõistliku selgituse ja dokumendid (olenevalt olukorrast), mis toetavad kontoomaniku esialgse kinnituse või dokumentide mõistlikkust (ja säilitama sellise selgituse või dokumendi koopia või märke selle kohta). Kui aruandekohustuslik finantsasutus ei suuda hankida kontoomaniku kinnitust ega kinnitada kontoomaniku esialgse kinnituse või dokumendi mõistlikkust, peab ta käsitama kontoomanikku mõlema jurisdiktsiooni avaldatava isikuna.</w:t>
      </w:r>
    </w:p>
    <w:p w:rsidR="00010DDB" w:rsidRPr="00E74148" w:rsidRDefault="00010DDB" w:rsidP="00E74148">
      <w:pPr>
        <w:pStyle w:val="Loenditpp"/>
        <w:widowControl w:val="0"/>
        <w:spacing w:after="100" w:afterAutospacing="1"/>
        <w:rPr>
          <w:sz w:val="24"/>
          <w:szCs w:val="24"/>
        </w:rPr>
      </w:pPr>
      <w:r>
        <w:rPr>
          <w:sz w:val="24"/>
        </w:rPr>
        <w:t>Seoses tuvastamisega, kas kontoomanik on finantsasutus, aktiivne NFE või passiivne NFE, peab aruandekohustuslik finantsasutus hankima lisadokumente või kontoomaniku kinnituse (olenevalt olukorrast)), et teha kindlaks, kas kontoomanik on aktiivne NFE või finantsasutus. Kui aruandekohustuslik finantsasutus seda ei tee, peab ta käsitama kontoomanikku passiivse NFE-na.</w:t>
      </w:r>
    </w:p>
    <w:p w:rsidR="00010DDB" w:rsidRPr="00E74148" w:rsidRDefault="00010DDB" w:rsidP="00E74148">
      <w:pPr>
        <w:pStyle w:val="Loenditpp"/>
        <w:widowControl w:val="0"/>
        <w:spacing w:after="100" w:afterAutospacing="1"/>
        <w:rPr>
          <w:sz w:val="24"/>
          <w:szCs w:val="24"/>
        </w:rPr>
      </w:pPr>
      <w:r>
        <w:rPr>
          <w:sz w:val="24"/>
        </w:rPr>
        <w:t xml:space="preserve">Seoses tuvastamisega, kas passiivset NFE-d kontrolliv isik on avaldatav isik, peab aruandekohustuslik finantsasutus hankima kas (i) kontoomaniku kinnituse või (ii) mõistliku selgituse ja dokumendid (olenevalt olukorrast)), mis toetavad varem hangitud kontoomaniku kinnituse või dokumentide mõistlikkust (ja säilitama sellise selgituse või dokumendi koopia või märke selle kohta). Kui aruandekohustuslik finantsasutus ei suuda hankida kontoomaniku kinnitust ega kinnitada varem hangitud kontoomaniku kinnituse või dokumendi mõistlikkust, peab ta tuginema III osa </w:t>
      </w:r>
      <w:r>
        <w:rPr>
          <w:sz w:val="24"/>
        </w:rPr>
        <w:lastRenderedPageBreak/>
        <w:t>lõike B punktis 2 nimetatud tunnustele, mis on tal toimikus sellise kontrolliva isiku kohta olemas, et teha kindlaks, kas kontrolliv isik on avaldatav isik.</w:t>
      </w:r>
    </w:p>
    <w:p w:rsidR="00010DDB" w:rsidRPr="00E74148" w:rsidRDefault="00010DDB" w:rsidP="00E74148">
      <w:pPr>
        <w:pStyle w:val="Pealkiri1"/>
        <w:keepNext w:val="0"/>
        <w:widowControl w:val="0"/>
        <w:spacing w:after="100" w:afterAutospacing="1"/>
        <w:rPr>
          <w:sz w:val="24"/>
          <w:szCs w:val="24"/>
        </w:rPr>
      </w:pPr>
      <w:bookmarkStart w:id="181" w:name="_Toc389723157"/>
      <w:bookmarkStart w:id="182" w:name="_Toc374431992"/>
      <w:bookmarkStart w:id="183" w:name="_Toc374431913"/>
      <w:bookmarkStart w:id="184" w:name="_Toc420331844"/>
      <w:bookmarkStart w:id="185" w:name="_Toc420331913"/>
      <w:r>
        <w:rPr>
          <w:sz w:val="24"/>
        </w:rPr>
        <w:t>Ettevõtte uute kontodega seotud hoolsusmeetmeid käsitleva VI osa kommentaarid</w:t>
      </w:r>
      <w:bookmarkEnd w:id="181"/>
      <w:bookmarkEnd w:id="182"/>
      <w:bookmarkEnd w:id="183"/>
      <w:bookmarkEnd w:id="184"/>
      <w:bookmarkEnd w:id="185"/>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osas sätestatakse ettevõtte uute kontodega seotud hoolsusmeetmed. Toimingud on üldjoontes samad nagu ettevõtte olemasolevate kontode puhulgi. Kuid 250 000 USA dollariline piirmäär ei kehti, kuna ettevõtte uute kontode korral peaks kontoomaniku kinnitust olema lihtsam hankida.</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Lõikes A on sätestatud ülevaatamise kord, et tuvastada ettevõtte uute kontode hulgast avaldatavaid kontosid. Selle korra kohaselt peavad aruandekohustuslikud finantsasutused tegema kindlaks</w:t>
      </w:r>
    </w:p>
    <w:p w:rsidR="00010DDB" w:rsidRPr="00E74148" w:rsidRDefault="00010DDB" w:rsidP="005C33A2">
      <w:pPr>
        <w:pStyle w:val="Loendinumber"/>
        <w:widowControl w:val="0"/>
        <w:numPr>
          <w:ilvl w:val="0"/>
          <w:numId w:val="27"/>
        </w:numPr>
        <w:spacing w:after="100" w:afterAutospacing="1"/>
        <w:rPr>
          <w:sz w:val="24"/>
          <w:szCs w:val="24"/>
        </w:rPr>
      </w:pPr>
      <w:r>
        <w:rPr>
          <w:sz w:val="24"/>
        </w:rPr>
        <w:t>kas ettevõtte uue konto omanikuks on üks või mitu avaldatavast isikust ettevõtet ja</w:t>
      </w:r>
    </w:p>
    <w:p w:rsidR="00010DDB" w:rsidRPr="00E74148" w:rsidRDefault="00010DDB" w:rsidP="005C33A2">
      <w:pPr>
        <w:pStyle w:val="Loendinumber"/>
        <w:widowControl w:val="0"/>
        <w:numPr>
          <w:ilvl w:val="0"/>
          <w:numId w:val="27"/>
        </w:numPr>
        <w:spacing w:after="100" w:afterAutospacing="1"/>
        <w:rPr>
          <w:sz w:val="24"/>
          <w:szCs w:val="24"/>
        </w:rPr>
      </w:pPr>
      <w:r>
        <w:rPr>
          <w:sz w:val="24"/>
        </w:rPr>
        <w:t>kas ettevõtte uue konto omanikuks on üks või mitu ettevõtet, mis on passiivsed NFE-d ühe või mitme kontrolliva isikuga, kes on avaldatavad isikud.</w:t>
      </w:r>
    </w:p>
    <w:p w:rsidR="00010DDB" w:rsidRPr="00E74148" w:rsidRDefault="00010DDB" w:rsidP="00E74148">
      <w:pPr>
        <w:pStyle w:val="Pealkiri3"/>
        <w:keepNext w:val="0"/>
        <w:widowControl w:val="0"/>
        <w:spacing w:after="100" w:afterAutospacing="1"/>
        <w:rPr>
          <w:sz w:val="24"/>
          <w:szCs w:val="24"/>
        </w:rPr>
      </w:pPr>
      <w:bookmarkStart w:id="186" w:name="_Toc420331845"/>
      <w:bookmarkStart w:id="187" w:name="_Toc420331914"/>
      <w:r>
        <w:rPr>
          <w:sz w:val="24"/>
        </w:rPr>
        <w:t>Lõike A punkt 1 – kontoomanike ülevaatamise kord</w:t>
      </w:r>
      <w:bookmarkEnd w:id="186"/>
      <w:bookmarkEnd w:id="187"/>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punktis 1 on sätestatud ülevaatamise kord, millega tuvastada, kas ettevõtte uue konto omanik on üks või mitu avaldatavast isikust ettevõtet. Kui mõni sellistest ettevõtetest on avaldatav isik, tuleb kontot käsitada avaldatava kontona.</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teha kindlaks, kas ettevõte on avaldatav isik, nõuab lõike A punkti 1 alapunkt a, et konto avamisel peab aruandekohustuslik finantsasutus</w:t>
      </w:r>
    </w:p>
    <w:p w:rsidR="00010DDB" w:rsidRPr="00E74148" w:rsidRDefault="00010DDB" w:rsidP="00E74148">
      <w:pPr>
        <w:pStyle w:val="Loenditpp"/>
        <w:widowControl w:val="0"/>
        <w:spacing w:after="100" w:afterAutospacing="1"/>
        <w:rPr>
          <w:sz w:val="24"/>
          <w:szCs w:val="24"/>
        </w:rPr>
      </w:pPr>
      <w:r>
        <w:rPr>
          <w:sz w:val="24"/>
        </w:rPr>
        <w:t>hankima kontoomaniku kinnituse, mis võimaldab aruandekohustuslikul finantsasutusel teha kindlaks kontoomaniku maksuresidentsuse(d) ja</w:t>
      </w:r>
    </w:p>
    <w:p w:rsidR="00010DDB" w:rsidRPr="00E74148" w:rsidRDefault="00010DDB" w:rsidP="00E74148">
      <w:pPr>
        <w:pStyle w:val="Loenditpp"/>
        <w:widowControl w:val="0"/>
        <w:spacing w:after="100" w:afterAutospacing="1"/>
        <w:rPr>
          <w:sz w:val="24"/>
          <w:szCs w:val="24"/>
        </w:rPr>
      </w:pPr>
      <w:r>
        <w:rPr>
          <w:sz w:val="24"/>
        </w:rPr>
        <w:t>kinnitama sellise kontoomaniku kinnituse mõistlikkust teabe põhjal, mida aruandekohustuslik finantsasutus on konto avamise käigus hankinud, sealhulgas rahapesu tõkestamise / klienditundmise põhimõtte kohaselt kogutud dokumentide põhjal.</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 1 alapunktis b sätestatakse, et kui kontoomaniku kinnitusest nähtub, et kontoomanik on avaldatava jurisdiktsiooni resident, siis peab aruandekohustuslik finantsasutus käsitama kontot avaldatava kontona, välja arvatud juhul, kui ta teeb oma käsutuses oleva või avalikult kättesaadava teabe (vt V osa kommentaaride punkti 12) põhjal mõistlikult kindlaks, et kontoomanik ei ole nimetatud avaldatava jurisdiktsiooni avaldatav isik (näiteks börsil noteeritud äriühing või riigiettevõte).</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Selleks et määrata kindlaks, kas ettevõtte uue konto omanik on üks või mitu avaldatavast isikust ettevõtet, võib aruandekohustuslik finantsasutus järgida lõike A punkti 1 alapunktides a ja b sätestatud juhiseid järjekorras, mis on antud asjaoludel kõige kohasem. Nii näiteks saab aruandekohustuslik finantsasutus määrata lõike A punkti 1 alapunkti b alusel kindlaks, et ettevõtte uue konto omanik on ettevõte, mis ei ole avaldatav isik (näiteks börsil </w:t>
      </w:r>
      <w:r w:rsidR="00010DDB">
        <w:rPr>
          <w:sz w:val="24"/>
        </w:rPr>
        <w:lastRenderedPageBreak/>
        <w:t>noteeritud äriühing), mistõttu ei ole konto avaldatav konto.</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Kontoomaniku kinnitus peab võimaldama kindlaks määrata kontoomaniku maksuresidentsust. Praktikas juhtub harva, et ettevõte on mitme jurisdiktsiooni maksuresident, kuid see on siiski võimalik. Jurisdiktsioonide riigisiseses õiguses nähakse ette tingimused, mille alusel tuleb ettevõtet käsitada maksuresidendina. Need tingimused hõlmavad jurisdiktsiooniga seotuse eri viise, mis on riigisiseses maksuõiguses ulatusliku maksustamise (täieliku maksukohustuse) alus. Topeltresidentsuse juhtumite lahendamiseks sisaldavad maksukonventsioonid spetsiaalseid reegleid, mille alusel on seotus ühe jurisdiktsiooniga ülimuslik seotuse üle teise jurisdiktsiooniga. Üldiselt on ettevõte jurisdiktsiooni maksuresident, kui selle jurisdiktsiooni seaduste (sealhulgas maksukonventsioonide) alusel maksab ta seal makse või peab neid seal maksma alalise asukoha, elukoha, juhtkonna asukoha, asutamiskoha või muu sarnase kriteeriumi alusel ning mitte üksnes selles jurisdiktsioonis saadud tulult. Topeltresidendist ettevõtted võivad oma maksuresidentsuse kindlaksmääramiseks tugineda maksukonventsioonides sätestatud topeltresidentsuse lahendamise reeglitele (nende olemasolu korral) (vt punkti 13 allpool).</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kuidas on võimalik määrata kindlaks ettevõtte maksuresidentsust.</w:t>
      </w:r>
    </w:p>
    <w:p w:rsidR="00010DDB" w:rsidRPr="00E74148" w:rsidRDefault="00010DDB" w:rsidP="00E74148">
      <w:pPr>
        <w:pStyle w:val="Loenditpp"/>
        <w:widowControl w:val="0"/>
        <w:spacing w:after="100" w:afterAutospacing="1"/>
        <w:rPr>
          <w:sz w:val="24"/>
          <w:szCs w:val="24"/>
        </w:rPr>
      </w:pPr>
      <w:r>
        <w:rPr>
          <w:sz w:val="24"/>
        </w:rPr>
        <w:t>Näide 1. Äriühing on asutatud jurisdiktsioonis A ja selle tegelik juhtimiskoht asub jurisdiktsioonis B. Jurisdiktsiooni A seaduste alusel määratakse maksuresidentsus kindlaks asutamiskoha järgi. Sama kehtib ka jurisdiktsiooni B seaduste alusel. Seega on äriühing üksnes jurisdiktsiooni A resident.</w:t>
      </w:r>
    </w:p>
    <w:p w:rsidR="00010DDB" w:rsidRPr="00E74148" w:rsidRDefault="00010DDB" w:rsidP="00E74148">
      <w:pPr>
        <w:pStyle w:val="Loenditpp"/>
        <w:widowControl w:val="0"/>
        <w:spacing w:after="100" w:afterAutospacing="1"/>
        <w:rPr>
          <w:sz w:val="24"/>
          <w:szCs w:val="24"/>
        </w:rPr>
      </w:pPr>
      <w:r>
        <w:rPr>
          <w:sz w:val="24"/>
        </w:rPr>
        <w:t>Näide 2. Asjaolud on samad nagu esimeses näites, kuid jurisdiktsiooni B seaduste alusel määratakse maksuresidentsus kindlaks tegeliku juhtimiskoha järgi. Seega on äriühing nii jurisdiktsiooni A kui ka jurisdiktsiooni B resident.</w:t>
      </w:r>
    </w:p>
    <w:p w:rsidR="00010DDB" w:rsidRPr="00E74148" w:rsidRDefault="00010DDB" w:rsidP="00E74148">
      <w:pPr>
        <w:pStyle w:val="Loenditpp"/>
        <w:widowControl w:val="0"/>
        <w:spacing w:after="100" w:afterAutospacing="1"/>
        <w:rPr>
          <w:sz w:val="24"/>
          <w:szCs w:val="24"/>
        </w:rPr>
      </w:pPr>
      <w:r>
        <w:rPr>
          <w:sz w:val="24"/>
        </w:rPr>
        <w:t>Näide 3. Asjaolud on samad nagu esimeses näites, kuid jurisdiktsioonide A ja B seaduste alusel määratakse maksuresidentsus kindlaks tegeliku juhtimiskoha järgi. Seega on äriühing üksnes jurisdiktsiooni B resident.</w:t>
      </w:r>
    </w:p>
    <w:p w:rsidR="00010DDB" w:rsidRPr="00E74148" w:rsidRDefault="00010DDB" w:rsidP="00E74148">
      <w:pPr>
        <w:pStyle w:val="Loenditpp"/>
        <w:widowControl w:val="0"/>
        <w:spacing w:after="100" w:afterAutospacing="1"/>
        <w:rPr>
          <w:sz w:val="24"/>
          <w:szCs w:val="24"/>
        </w:rPr>
      </w:pPr>
      <w:r>
        <w:rPr>
          <w:sz w:val="24"/>
        </w:rPr>
        <w:t>Näide 4. Asjaolud on samad nagu esimeses näites, kuid jurisdiktsiooni A seaduste alusel määratakse maksuresidentsus kindlaks tegeliku juhtimiskoha järgi ja jurisdiktsiooni B seaduste alusel määratakse maksuresidentsus kindlaks asutamiskoha järgi. Seega on äriühing nii jurisdiktsiooni A kui ka jurisdiktsiooni B resident.</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Eeldatakse, et osalevad jurisdiktsioonid aitavad maksumaksjatel oma maksuresidentsust kindlaks määrata ja jagavad sellekohast teavet. Seda on võimalik teha näiteks teenuste osutamise erinevate kanalite kaudu, mida kasutatakse maksumaksjatele maksuseaduste kohaldamise kohta teabe või juhiste jagamiseks (näiteks telefon, esindused, internet). OECD teeb jõupingutusi sellise teabe levitamise hõlbustamiseks.</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Avaldatava jurisdiktsiooni isiku mõiste kohaselt käsitatakse ettevõtet, millel maksuresidentsus puudub (näiteks partnerlus, piiratud vastutusega partnerlus või muu sarnane õiguslik moodustis), selle jurisdiktsiooni residendina, kus on selle ettevõtte tegelik juhtimiskoht (vt VIII osa kommentaaride punkti 109). Sellisel juhul ning kui ettevõte kinnitab, et tal maksuresidentsus puudub, võimaldab lõike A punkti 1 alapunkt b aruandekohustuslikel finantsasutustel tugineda residentsuse kindlaksmääramiseks selle peakontori aadressile (vt VIII osa kommentaaride punkti 153). Ettevõtted, millel maksuresidentsus puudub, on näiteks ettevõtted, mida käsitatakse maksualaselt läbipaistvatena, ja ettevõtted, mille puhul on asjaolud samad nagu neljandas näites punktis 8 </w:t>
      </w:r>
      <w:r w:rsidR="00010DDB">
        <w:rPr>
          <w:sz w:val="24"/>
        </w:rPr>
        <w:lastRenderedPageBreak/>
        <w:t>eespool.</w:t>
      </w:r>
    </w:p>
    <w:p w:rsidR="00010DDB" w:rsidRPr="00E74148" w:rsidRDefault="00010DDB" w:rsidP="00E74148">
      <w:pPr>
        <w:pStyle w:val="Pealkiri4"/>
        <w:keepNext w:val="0"/>
        <w:widowControl w:val="0"/>
        <w:spacing w:after="100" w:afterAutospacing="1"/>
        <w:rPr>
          <w:sz w:val="24"/>
          <w:szCs w:val="24"/>
        </w:rPr>
      </w:pPr>
      <w:r>
        <w:rPr>
          <w:sz w:val="24"/>
        </w:rPr>
        <w:t>Kontoomanike kinnituste kehtivus</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IV osa kommentaaride punktis 7 mainitud, on kontoomaniku kinnitus kinnitus, milles nähakse ette kontoomaniku staatus ja muu teave, mida aruandekohustuslik finantsasutus võib mõistlikult nõuda oma aruandluse ja hoolsusmeetmetega seotud kohustuste täitmiseks, näiteks kas kontoomanik on avaldatava jurisdiktsiooni maksuresident või kas kontoomanik on passiivne NFE. Ettevõtte uute kontode puhul kehtib kontoomaniku kinnitus vaid juhul, kui see vastab ettevõtte olemasolevate kontodega seotud kontoomaniku kinnituse kehtivusele esitatavatele nõuetele (vt V osa kommentaaride punkte 14–18). Sama kehtib ka kontoomaniku kinnituse vigade parandamisele, nõudele hankida kontopõhine kinnitus ja teiste isikute kogutud dokumentidele.</w:t>
      </w:r>
    </w:p>
    <w:p w:rsidR="00010DDB" w:rsidRPr="00E74148" w:rsidRDefault="00010DDB" w:rsidP="00E74148">
      <w:pPr>
        <w:pStyle w:val="Pealkiri4"/>
        <w:keepNext w:val="0"/>
        <w:widowControl w:val="0"/>
        <w:spacing w:after="100" w:afterAutospacing="1"/>
        <w:rPr>
          <w:sz w:val="24"/>
          <w:szCs w:val="24"/>
        </w:rPr>
      </w:pPr>
      <w:r>
        <w:rPr>
          <w:sz w:val="24"/>
        </w:rPr>
        <w:t>Kontoomanike kinnituste mõistlikkus</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eespool punktis 4 mainitud, peab aruandekohustuslik finantsasutus konto avamisel pärast kontoomaniku kinnituse, mis võimaldab aruandekohustuslikul finantsasutusel teha kindlaks kontoomaniku maksuresidentsuse(d), hankimist kinnitama sellise kontoomaniku kinnituse mõistlikkust teabe põhjal, mida aruandekohustuslik finantsasutus on konto avamise käigus hankinud, sealhulgas rahapesu tõkestamise / klienditundmise põhimõtte kohaselt kogutud dokumentide põhjal (nn mõistlikkuse test).</w:t>
      </w:r>
    </w:p>
    <w:p w:rsidR="00C41415" w:rsidRPr="00C41415"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C41415">
        <w:rPr>
          <w:sz w:val="24"/>
          <w:szCs w:val="24"/>
        </w:rPr>
        <w:fldChar w:fldCharType="begin"/>
      </w:r>
      <w:r w:rsidR="00010DDB" w:rsidRPr="00C41415">
        <w:rPr>
          <w:sz w:val="24"/>
          <w:szCs w:val="24"/>
        </w:rPr>
        <w:instrText>MACROBUTTON NUMBERING</w:instrText>
      </w:r>
      <w:r w:rsidRPr="00C41415">
        <w:rPr>
          <w:sz w:val="24"/>
          <w:szCs w:val="24"/>
        </w:rPr>
        <w:fldChar w:fldCharType="end"/>
      </w:r>
      <w:r w:rsidR="00010DDB" w:rsidRPr="00C41415">
        <w:rPr>
          <w:sz w:val="24"/>
        </w:rPr>
        <w:t>Loetakse, et aruandekohustuslik finantsasutus on kinnitanud kontoomaniku kinnituse mõistlikkust, kui konto avamise ja seejuures kogutud teabe (sealhulgas rahapesu tõkestamise / klienditundmise põhimõtte kohaselt kogutud dokumentide) ülevaatuse käigus ei tea aruandekohustuslik finantsasutus ja tal ei ole alust arvata, et kontoomaniku kinnitus ei ole õige või usaldusväärne (vt VII osa kommentaaride punkte 2–3). Aruandekohustuslikelt finantsasutustelt ei eeldata asjakohaste maksuseaduste sõltumatut õiguslikku analüüsi kontoomaniku kinnituse mõistlikkuse kinnitamiseks.</w:t>
      </w:r>
    </w:p>
    <w:p w:rsidR="00010DDB" w:rsidRPr="00C41415"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C41415">
        <w:rPr>
          <w:sz w:val="24"/>
          <w:szCs w:val="24"/>
        </w:rPr>
        <w:fldChar w:fldCharType="begin"/>
      </w:r>
      <w:r w:rsidR="00010DDB" w:rsidRPr="00C41415">
        <w:rPr>
          <w:sz w:val="24"/>
          <w:szCs w:val="24"/>
        </w:rPr>
        <w:instrText>MACROBUTTON NUMBERING</w:instrText>
      </w:r>
      <w:r w:rsidRPr="00C41415">
        <w:rPr>
          <w:sz w:val="24"/>
          <w:szCs w:val="24"/>
        </w:rPr>
        <w:fldChar w:fldCharType="end"/>
      </w:r>
      <w:r w:rsidR="00010DDB" w:rsidRPr="00C41415">
        <w:rPr>
          <w:sz w:val="24"/>
        </w:rPr>
        <w:t>Allolevad näited illustreerivad nn mõistlikkuse testi kohaldamist.</w:t>
      </w:r>
    </w:p>
    <w:p w:rsidR="00010DDB" w:rsidRPr="00E74148" w:rsidRDefault="00010DDB" w:rsidP="00E74148">
      <w:pPr>
        <w:pStyle w:val="Loenditpp"/>
        <w:widowControl w:val="0"/>
        <w:spacing w:after="100" w:afterAutospacing="1"/>
        <w:rPr>
          <w:sz w:val="24"/>
          <w:szCs w:val="24"/>
        </w:rPr>
      </w:pPr>
      <w:r>
        <w:rPr>
          <w:sz w:val="24"/>
        </w:rPr>
        <w:t>Näide 1. Aruandekohustuslik finantsasutus hangib konto avamisel kontoomanikult kinnituse. Kinnituses olev aadress on vastuolus rahapesu tõkestamise / klienditundmise põhimõtte kohaselt kogutud dokumentides sisalduvaga. Vastuolulise teabe tõttu ei ole kontoomaniku kinnitus õige ega usaldusväärne ning selle tagajärjel ei läbi kontoomaniku kinnitus mõistlikkuse testi.</w:t>
      </w:r>
    </w:p>
    <w:p w:rsidR="00010DDB" w:rsidRPr="00E74148" w:rsidRDefault="00010DDB" w:rsidP="00E74148">
      <w:pPr>
        <w:pStyle w:val="Loenditpp"/>
        <w:widowControl w:val="0"/>
        <w:spacing w:after="100" w:afterAutospacing="1"/>
        <w:rPr>
          <w:sz w:val="24"/>
          <w:szCs w:val="24"/>
        </w:rPr>
      </w:pPr>
      <w:r>
        <w:rPr>
          <w:sz w:val="24"/>
        </w:rPr>
        <w:t>Näide 2. Aruandekohustuslik finantsasutus hangib konto avamisel kontoomanikult kinnituse. Rahapesu tõkestamise / klienditundmise põhimõtte kohaselt kogutud dokumentidest nähtub vaid kontoomaniku asutamiskoht. Kinnituses väidab kontoomanik, et ta on maksuresident jurisdiktsioonis, kus ta ei ole asutatud. Kontoomanik selgitab aruandekohustuslikule finantsasutusele, et asjaomaste maksuseaduste alusel määratakse tema maksuresidentsus kindlaks tegeliku juhtimiskoha alusel ja et jurisdiktsioon, kus asub tegelik juhtimiskoht, ei ole sama jurisdiktsioon, kus ta on asutatud. Kuna vastuoluline teave on mõistlikult selgitatud, on kontoomaniku kinnitus õige ja usaldusväärne ning läbib mõistlikkuse testi.</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trike/>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kontoomaniku kinnitus ei läbi mõistlikkuse testi, eeldatakse, et aruandekohustuslik finantsasutus hangib konto avamise käigus kehtiva kontoomaniku kinnituse.</w:t>
      </w:r>
    </w:p>
    <w:p w:rsidR="00010DDB" w:rsidRPr="00E74148" w:rsidRDefault="00010DDB" w:rsidP="00E74148">
      <w:pPr>
        <w:pStyle w:val="Pealkiri3"/>
        <w:keepNext w:val="0"/>
        <w:widowControl w:val="0"/>
        <w:spacing w:after="100" w:afterAutospacing="1"/>
        <w:rPr>
          <w:sz w:val="24"/>
          <w:szCs w:val="24"/>
        </w:rPr>
      </w:pPr>
      <w:bookmarkStart w:id="188" w:name="_Toc420331846"/>
      <w:bookmarkStart w:id="189" w:name="_Toc420331915"/>
      <w:r>
        <w:rPr>
          <w:sz w:val="24"/>
        </w:rPr>
        <w:lastRenderedPageBreak/>
        <w:t>Lõike A punkt 2 – kontrollivate isikute ülevaatamise kord</w:t>
      </w:r>
      <w:bookmarkEnd w:id="188"/>
      <w:bookmarkEnd w:id="189"/>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punktis 2 on sätestatud ülevaatamise kord, millega tuvastada, kas ettevõtte uue konto omanik on üks või mitu ettevõtet, mis on passiivsed NFE-d ühe või mitme kontrolliva isikuga, kes on avaldatavad isikud. Kui mõni passiivset NFE-d kontrolliv isik on avaldatav isik, siis tuleb kontot käsitada avaldatava kontona (isegi kui kontrolliv isik on passiivse NFE-ga sama jurisdiktsiooni resident).</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Seda tehes peab aruandekohustuslik finantsasutus järgima lõike A punkti 2 alapunktides a kuni c toodud juhiseid järjekorras, mis on antud asjaoludel kõige kohasem. Nende punktide eesmärk on teha kindlaks</w:t>
      </w:r>
    </w:p>
    <w:p w:rsidR="00010DDB" w:rsidRPr="00E74148" w:rsidRDefault="00010DDB" w:rsidP="005C33A2">
      <w:pPr>
        <w:pStyle w:val="Loendinumber"/>
        <w:widowControl w:val="0"/>
        <w:numPr>
          <w:ilvl w:val="0"/>
          <w:numId w:val="28"/>
        </w:numPr>
        <w:spacing w:after="100" w:afterAutospacing="1"/>
        <w:rPr>
          <w:sz w:val="24"/>
          <w:szCs w:val="24"/>
        </w:rPr>
      </w:pPr>
      <w:r>
        <w:rPr>
          <w:sz w:val="24"/>
        </w:rPr>
        <w:t>kas kontoomanik on passiivne NFE,</w:t>
      </w:r>
    </w:p>
    <w:p w:rsidR="00010DDB" w:rsidRPr="00E74148" w:rsidRDefault="00010DDB" w:rsidP="005C33A2">
      <w:pPr>
        <w:pStyle w:val="Loendinumber"/>
        <w:widowControl w:val="0"/>
        <w:numPr>
          <w:ilvl w:val="0"/>
          <w:numId w:val="28"/>
        </w:numPr>
        <w:spacing w:after="100" w:afterAutospacing="1"/>
        <w:rPr>
          <w:sz w:val="24"/>
          <w:szCs w:val="24"/>
        </w:rPr>
      </w:pPr>
      <w:r>
        <w:rPr>
          <w:sz w:val="24"/>
        </w:rPr>
        <w:t>sellist passiivset NFE-d kontrollivad isikud, ja</w:t>
      </w:r>
    </w:p>
    <w:p w:rsidR="00010DDB" w:rsidRPr="00E74148" w:rsidRDefault="00010DDB" w:rsidP="005C33A2">
      <w:pPr>
        <w:pStyle w:val="Loendinumber"/>
        <w:widowControl w:val="0"/>
        <w:numPr>
          <w:ilvl w:val="0"/>
          <w:numId w:val="28"/>
        </w:numPr>
        <w:spacing w:after="100" w:afterAutospacing="1"/>
        <w:rPr>
          <w:sz w:val="24"/>
          <w:szCs w:val="24"/>
        </w:rPr>
      </w:pPr>
      <w:r>
        <w:rPr>
          <w:sz w:val="24"/>
        </w:rPr>
        <w:t>kas mõni kontrollivatest isikutest on avaldatav isik.</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 2 alapunkti a kohaselt selleks, et teha kindlaks, kas kontoomanik on passiivne NFE, peab aruandekohustuslik finantsasutus tuginema kontoomaniku kinnitusele tema staatuse kindlaksmääramiseks, välja arvatud juhul, kui aruandekohustusliku finantsasutuse käsutuses on teave või on võimalik avalikult kätte saada teavet (vt V osa kommentaaride punkti 12), mille alusel on mõistlikult võimalik kindlaks teha, et kontoomanik on aktiivne NFE või finantsasutus, välja arvatud mitteosalev professionaalselt juhitav investeerimisettevõte (see tähendab VIII osa lõike A punkti 6 alapunktis b kirjeldatud investeerimisasutus, mis ei ole osaleva jurisdiktsiooni finantsasutus). Selline kontoomaniku kinnitus peab olema kooskõlas ettevõtte olemasolevate kontodega seotud kontoomaniku kinnituse kehtivusele esitatavate nõuetega (vt punkti 11 eespool). Nagu on IV osa kommentaaride punktis 18 mainitud, võib aruandekohustuslik finantsasutus tugineda kinnitusele, mille klient on täitnud teise konto kohta, juhul, kui mõlemaid kontosid käsitatakse ühe kontona VII osa lõikes A ette nähtud teadmisstandardi nõuete täitmise tähenduses. Aruandekohustuslik finantsasutus, kes ei suuda kindlaks teha, et kontoomanik on aktiivne NFE või finantsasutus, mis ei ole mitteosalev professionaalselt juhitav investeerimisettevõte, peab eeldama, et kontoomanik on passiivne NFE.</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 2 alapunkti b kohaselt võib aruandekohustuslik finantsasutus kontoomanikku kontrollivate isikute tuvastamiseks tugineda teabele, mis on kogutud ja mida säilitatakse rahapesu tõkestamise / klienditundmise põhimõtte kohaselt.</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tuvastada, kas passiivset NFE-d kontrolliv isik on avaldatav isik, võib aruandekohustuslik finantsasutus tugineda üksnes kas kontoomaniku või kontrolliva isiku kinnitusele (vt V osa kommentaaride punkte 22–23).</w:t>
      </w:r>
    </w:p>
    <w:p w:rsidR="00010DDB" w:rsidRPr="00E74148" w:rsidRDefault="00F15FDA" w:rsidP="00324DEF">
      <w:pPr>
        <w:pStyle w:val="Num-DocParagraph"/>
        <w:widowControl w:val="0"/>
        <w:numPr>
          <w:ilvl w:val="0"/>
          <w:numId w:val="74"/>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ettevõtte uue kontoga seotud asjaoludes toimub muudatus (vt III osa kommentaaride punkti 17), mille tulemusena saab aruandekohustuslik finantsasutus teada või mille tulemusena on tal põhjust arvata, et kontoga seostatav kontoomaniku kinnitus või muu dokument ei ole õige või usaldusväärne, siis peab aruandekohustuslik finantsasutus konto staatuse V osa kommentaaride punkti 27 kohaselt uuesti kindlaks määrama.</w:t>
      </w:r>
    </w:p>
    <w:p w:rsidR="00010DDB" w:rsidRPr="00E74148" w:rsidRDefault="00010DDB" w:rsidP="00E74148">
      <w:pPr>
        <w:pStyle w:val="Pealkiri1"/>
        <w:keepNext w:val="0"/>
        <w:widowControl w:val="0"/>
        <w:spacing w:after="100" w:afterAutospacing="1"/>
        <w:rPr>
          <w:sz w:val="24"/>
          <w:szCs w:val="24"/>
        </w:rPr>
      </w:pPr>
      <w:bookmarkStart w:id="190" w:name="_Toc389723158"/>
      <w:bookmarkStart w:id="191" w:name="_Toc374431993"/>
      <w:bookmarkStart w:id="192" w:name="_Toc374431916"/>
      <w:bookmarkStart w:id="193" w:name="_Toc420331847"/>
      <w:bookmarkStart w:id="194" w:name="_Toc420331916"/>
      <w:r>
        <w:rPr>
          <w:sz w:val="24"/>
        </w:rPr>
        <w:lastRenderedPageBreak/>
        <w:t>Hoolsusmeetmete erieeskirju käsitleva VII osa kommentaarid</w:t>
      </w:r>
      <w:bookmarkEnd w:id="190"/>
      <w:bookmarkEnd w:id="191"/>
      <w:bookmarkEnd w:id="192"/>
      <w:bookmarkEnd w:id="193"/>
      <w:bookmarkEnd w:id="194"/>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osas sätestatakse hoolsusmeetmete erieeskirjad, mida aruandekohustuslikud finantsasutused on kohustatud kasutama lisaks II osas sätestatud hoolsusmeetmete üldeeskirjadele ja mis tahes konkreetsetele hoolsusmeetmetele, mis kehtivad nende hallatavatele kontodele. Need eeskirjad on kontoomanike kinnitustele ja dokumentaalsetele tõenditele kohaldatavad teadmisstandardid, füüsiliste isikute kontode, mis on rahalise väärtusega kindlustuslepingud või annuiteedilepingud, alternatiivsed menetluseeskirjad ning kontojäägi liitmise ja valuuta arvestamise eeskirjad.</w:t>
      </w:r>
    </w:p>
    <w:p w:rsidR="00010DDB" w:rsidRPr="00E74148" w:rsidRDefault="00010DDB" w:rsidP="00E74148">
      <w:pPr>
        <w:pStyle w:val="Pealkiri3"/>
        <w:keepNext w:val="0"/>
        <w:widowControl w:val="0"/>
        <w:spacing w:after="100" w:afterAutospacing="1"/>
        <w:rPr>
          <w:sz w:val="24"/>
          <w:szCs w:val="24"/>
        </w:rPr>
      </w:pPr>
      <w:bookmarkStart w:id="195" w:name="_Toc420331848"/>
      <w:bookmarkStart w:id="196" w:name="_Toc420331917"/>
      <w:r>
        <w:rPr>
          <w:sz w:val="24"/>
        </w:rPr>
        <w:t>Lõige A – kinnitustele ja dokumentaalsetele tõenditele tuginemine</w:t>
      </w:r>
      <w:bookmarkEnd w:id="195"/>
      <w:bookmarkEnd w:id="196"/>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A sisaldab kinnitustele ja dokumentaalsetele tõenditele kohaldatavaid teadmisstandardeid. Aruandekohustuslik finantsasutus ei tohi tugineda kontoomaniku kinnitusele ega dokumentaalsele tõendile, kui aruandekohustuslik finantsasutus on teadlik (see tähendab, et ta tegelikult teab) või kui tal on alust arvata, et kinnitus või dokumentaalne tõend ei ole õige või usaldusväärne.</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 finantsasutusel on alust arvata, et kinnitus või dokumentaalne tõend ei ole õige või usaldusväärne, kui tema teadmine kinnituses või muus dokumendis sisalduvate asjakohaste faktide või avalduste kohta, sealhulgas asjaomaste kliendihaldurite teadmine (olemasolu korral) (vt III osa kommentaaride punkte 38–42 ja 50) on selline, et mõistlikult kaalutlev isik aruandekohustusliku finantsasutuse olukorras seaks esitatud väite kahtluse alla. Samuti on aruandekohustuslikul finantsasutusel alust arvata, et kinnitus või dokumentaalne tõend ei ole õige või usaldusväärne, kui dokumendid või aruandekohustusliku finantsasutuse toimikud kontode kohta sisaldavad teavet, mis on vastuolus isiku väitega oma staatuse kohta.</w:t>
      </w:r>
    </w:p>
    <w:p w:rsidR="00010DDB" w:rsidRPr="00E74148" w:rsidRDefault="00010DDB" w:rsidP="00E74148">
      <w:pPr>
        <w:pStyle w:val="Pealkiri4"/>
        <w:keepNext w:val="0"/>
        <w:widowControl w:val="0"/>
        <w:spacing w:after="100" w:afterAutospacing="1"/>
        <w:rPr>
          <w:sz w:val="24"/>
          <w:szCs w:val="24"/>
        </w:rPr>
      </w:pPr>
      <w:r>
        <w:rPr>
          <w:sz w:val="24"/>
        </w:rPr>
        <w:t>Kontoomanike kinnitustele kohaldatavad teadmisstandardid</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 finantsasutusel on alust arvata, et isiku esitatud kinnitus ei ole õige või usaldusväärne, kui kinnituses esitatud teave, mis puudutab isiku esitatud väiteid, on poolik, kinnitus sisaldab mis tahes teavet, mis ei ole isiku väidetega kooskõlas, või on aruandekohustuslikul finantsasutusel konto kohta muud teavet, mis ei ole isiku väidetega kooskõlas. Loetakse, et aruandekohustuslik finantsasutus, mis kasutab kinnituse ülevaatamiseks ja haldamiseks teenusepakkujat, on teadlik või et tal on põhjust teada asjaolusid, mida teab vastav teenusepakkuja.</w:t>
      </w:r>
    </w:p>
    <w:p w:rsidR="00010DDB" w:rsidRPr="00E74148" w:rsidRDefault="00010DDB" w:rsidP="00E74148">
      <w:pPr>
        <w:pStyle w:val="Pealkiri4"/>
        <w:keepNext w:val="0"/>
        <w:widowControl w:val="0"/>
        <w:spacing w:after="100" w:afterAutospacing="1"/>
        <w:rPr>
          <w:sz w:val="24"/>
          <w:szCs w:val="24"/>
        </w:rPr>
      </w:pPr>
      <w:r>
        <w:rPr>
          <w:sz w:val="24"/>
        </w:rPr>
        <w:t>Dokumentaalsetele tõenditele kohaldatavad teadmisstandardid</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ei tohi tugineda isiku esitatud dokumentaalsele tõendile, kui sellest ei nähtu mõistlikult dokumentaalset tõendit esitava isiku isikusamasus. Näiteks ei ole dokumentaalne tõend usaldusväärne, kui selle esitab isik isiklikult ja tõendil olev pilt või allkiri ei lange kokku dokumenti esitava isiku välimuse või allkirjaga. Aruandekohustuslik finantsasutus ei tohi tugineda dokumentaalsele tõendile, kui see sisaldab teavet, mis on vastuolus isiku väidetega oma staatuse kohta, aruandekohustuslikul finantsasutusel on konto kohta muud teavet, mis ei ole isiku staatusega kooskõlas, või dokumentaalses tõendis puudub teave, mis on vajalik isiku staatuse kindlakstegemiseks.</w:t>
      </w:r>
    </w:p>
    <w:p w:rsidR="00010DDB" w:rsidRPr="00D91E26" w:rsidRDefault="00F15FDA" w:rsidP="00324DEF">
      <w:pPr>
        <w:pStyle w:val="Num-DocParagraph"/>
        <w:widowControl w:val="0"/>
        <w:numPr>
          <w:ilvl w:val="0"/>
          <w:numId w:val="68"/>
        </w:numPr>
        <w:tabs>
          <w:tab w:val="clear" w:pos="850"/>
          <w:tab w:val="left" w:pos="567"/>
        </w:tabs>
        <w:spacing w:before="240" w:after="100" w:afterAutospacing="1"/>
        <w:ind w:left="0" w:firstLine="0"/>
        <w:rPr>
          <w:spacing w:val="-4"/>
          <w:sz w:val="24"/>
          <w:szCs w:val="24"/>
        </w:rPr>
      </w:pPr>
      <w:r w:rsidRPr="00D91E26">
        <w:rPr>
          <w:spacing w:val="-4"/>
          <w:sz w:val="24"/>
          <w:szCs w:val="24"/>
        </w:rPr>
        <w:fldChar w:fldCharType="begin"/>
      </w:r>
      <w:r w:rsidR="00010DDB" w:rsidRPr="00D91E26">
        <w:rPr>
          <w:spacing w:val="-4"/>
          <w:sz w:val="24"/>
          <w:szCs w:val="24"/>
        </w:rPr>
        <w:instrText>MACROBUTTON NUMBERING</w:instrText>
      </w:r>
      <w:r w:rsidRPr="00D91E26">
        <w:rPr>
          <w:spacing w:val="-4"/>
          <w:sz w:val="24"/>
          <w:szCs w:val="24"/>
        </w:rPr>
        <w:fldChar w:fldCharType="end"/>
      </w:r>
      <w:r w:rsidR="00010DDB" w:rsidRPr="00D91E26">
        <w:rPr>
          <w:spacing w:val="-4"/>
          <w:sz w:val="24"/>
        </w:rPr>
        <w:t xml:space="preserve">Aruandekohustuslik finantsasutus ei ole kohustatud tuginema auditeeritud finantsaruandele, </w:t>
      </w:r>
      <w:r w:rsidR="00010DDB" w:rsidRPr="00D91E26">
        <w:rPr>
          <w:spacing w:val="-4"/>
          <w:sz w:val="24"/>
        </w:rPr>
        <w:lastRenderedPageBreak/>
        <w:t>et tuvastada, et kontoomaniku puhul on täidetud teatud vara piirmäära nõue. Kuid kui aruandekohustuslik finantsasutus otsustab sellele siiski tugineda, on tal alust arvata, et väidetav staatus ei ole usaldusväärne või õige üksnes juhul, kui auditeeritud finantsaruandes kontoomaniku kohta näidatud koguvara ei mahu lubatud piirmäära sisse või kui finantsaruande lisad või allmärkused viitavad sellele, et kontoomanik ei ole väidetava staatuse jaoks kõlblik. Kui aruandekohustuslik finantsasutus otsustab tugineda auditeeritud finantsaruandele, et tuvastada, et kontoomanik on aktiivne NFE, peab ta üle vaatama bilansi ja kasumiaruande, et teha kindlaks, kas kontoomaniku puhul on täidetud VIII osa lõike D punkti 9 alapunktis a sätestatud sissetuleku ja vara piirmäära nõue, ning finantsaruande lisad või allmärkused, et leida viidet sellele, et kontoomanik on finantsasutus. Kui aruandekohustuslik finantsasutus otsustab tugineda auditeeritud finantsaruandele, et teha kindlaks kontoomaniku staatus, mille puhul ei pea kontoomanik täitma vara või sissetuleku piirmäära nõuet, peab aruandekohustuslik finantsasutus üle vaatama üksnes finantsaruande lisad ja allmärkused, et teha kindlaks, kas finantsaruanne toetab väidetavat staatust. Kui aruandekohustuslik finantsasutus otsustab kontoomaniku staatuse kindlakstegemiseks auditeeritud finantsaruandele mitte tugineda (näiteks kuna tal on muid kontoomaniku staatust määratlevaid dokumente), ei ole aruandekohustuslik finantsasutus kohustatud finantsaruannet sõltumatult hindama üksnes selle tõttu, et ta on auditeeritud finantsaruande saanud konto avamise või muu tegevuse käigus.</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ei ole kohustatud tuginema organisatsioonilistele dokumentidele, et tuvastada, et ettevõttel on teatud staatus. Kuid kui aruandekohustuslik finantsasutus otsustab seda teha, peab ta dokumendi üle vaatama niivõrd, kuivõrd see on vajalik selleks, et tuvastada, et teatud staatusele kohaldatavad nõuded on täidetud ja et dokument on korralikult vormistatud, kuid ülejäänud dokumenti läbi vaatama ei pea.</w:t>
      </w:r>
    </w:p>
    <w:p w:rsidR="00010DDB" w:rsidRPr="00E74148" w:rsidRDefault="00010DDB" w:rsidP="00E74148">
      <w:pPr>
        <w:pStyle w:val="Pealkiri4"/>
        <w:keepNext w:val="0"/>
        <w:widowControl w:val="0"/>
        <w:spacing w:after="100" w:afterAutospacing="1"/>
        <w:rPr>
          <w:sz w:val="24"/>
          <w:szCs w:val="24"/>
        </w:rPr>
      </w:pPr>
      <w:r>
        <w:rPr>
          <w:sz w:val="24"/>
        </w:rPr>
        <w:t>Piirangud alusele arvata</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Selleks et tuvastada, kas aruandekohustuslikul finantsasutusel, mis haldab ettevõtte olemasolevat kontot, on alust arvata, et ettevõttele määratud staatus ei ole usaldusväärne või õige, peab aruandekohustuslik finantsasutus läbi vaatama vaid väidetava staatusega vastuolus oleva teabe, kui selline teave sisaldub ajakohases kliendi põhitoimikus, kõige viimases kontoomaniku kinnituses ja tema kohta käivas dokumentaalses tõendis, kõige viimases konto avamise lepingus ja kõige viimases dokumendis, mille aruandekohustuslik finantsasutus on hankinud rahapesu tõkestamise / klienditundmise põhimõtte järgimiseks või muul regulatiivsel eesmärgil.</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 finantsasutusel, kes haldab ühe isiku jaoks mitut kontot, on isiku teise kontoga seotud teabe põhjal alust arvata, et isiku staatus ei ole täpne, üksnes niivõrd, kuivõrd need kontod tuleb VII osa lõikes C sätestatud kontojäägi liitmise eeskirjade alusel liita või käsitada neid ühe kontona, et täita VII osa lõikes A sätestatud teadmisstandardi nõudeid.</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 finantsasutus ei tea ja tal ei ole alust arvata, et kontoomaniku kinnitus või dokumentaalne tõend ei ole usaldusväärne või õige üksnes muutunud aadressi tõttu samas jurisdiktsioonis. Lisaks ei tea aruandekohustuslik finantsasutus ja tal ei ole alust arvata, et kontoomaniku kinnitus või dokumentaalne tõend ei ole usaldusväärne või õige üksnes selle tõttu, et ta avastab mõne III osa lõike B punkti 2 alapunktides c kuni e nimetatud tunnuse, mis on vastuolus kontoomaniku kinnituse või dokumentaalse tõendiga. Järgmised näited illustreerivad teadmisstandardite piirangute kohaldamist.</w:t>
      </w:r>
    </w:p>
    <w:p w:rsidR="00010DDB" w:rsidRPr="00E74148" w:rsidRDefault="00010DDB" w:rsidP="005C33A2">
      <w:pPr>
        <w:pStyle w:val="Num-DocParagraph"/>
        <w:widowControl w:val="0"/>
        <w:numPr>
          <w:ilvl w:val="0"/>
          <w:numId w:val="29"/>
        </w:numPr>
        <w:tabs>
          <w:tab w:val="clear" w:pos="850"/>
        </w:tabs>
        <w:spacing w:after="100" w:afterAutospacing="1"/>
        <w:rPr>
          <w:sz w:val="24"/>
          <w:szCs w:val="24"/>
        </w:rPr>
      </w:pPr>
      <w:r>
        <w:rPr>
          <w:sz w:val="24"/>
        </w:rPr>
        <w:t xml:space="preserve">Näide 1. Aruandekohustuslikust finantsasutusest pank A haldab füüsilisest isikust </w:t>
      </w:r>
      <w:r>
        <w:rPr>
          <w:sz w:val="24"/>
        </w:rPr>
        <w:lastRenderedPageBreak/>
        <w:t>kontoomaniku P hoiusekontot. Hoiusekonto on olemasolev konto ja A on tuginenud aadressile, mis on tal P toimikus olemas ja mida kinnitavad konto avamise käigus kogutud P pass ja kommunaalarve, mille alusel tehti kindlaks, et P on jurisdiktsiooni X maksuresident (elukoha aadressi testi kasutamine). Viis aastat hiljem annab P oma õele, kes elab jurisdiktsioonis Y, volituse oma konto käsutamiseks. Asjaolu, et P andis sellise volituse, ei anna A-le alust arvata, et dokumentaalsed tõendid, mille alusel käsitatakse P-d jurisdiktsiooni X residendina, ei ole usaldusväärsed või õiged.</w:t>
      </w:r>
    </w:p>
    <w:p w:rsidR="00010DDB" w:rsidRPr="00E74148" w:rsidRDefault="00010DDB" w:rsidP="005C33A2">
      <w:pPr>
        <w:pStyle w:val="Num-DocParagraph"/>
        <w:widowControl w:val="0"/>
        <w:numPr>
          <w:ilvl w:val="0"/>
          <w:numId w:val="29"/>
        </w:numPr>
        <w:tabs>
          <w:tab w:val="clear" w:pos="850"/>
        </w:tabs>
        <w:spacing w:after="100" w:afterAutospacing="1"/>
        <w:rPr>
          <w:sz w:val="24"/>
          <w:szCs w:val="24"/>
        </w:rPr>
      </w:pPr>
      <w:r>
        <w:rPr>
          <w:sz w:val="24"/>
        </w:rPr>
        <w:t>Näide 2. Aruandekohustuslikust finantsasutusest kindlustusettevõte B sõlmis Q-ga rahalise väärtusega kindlustuslepingu. Kuna leping on füüsilise isiku uus konto, hankis B Q-lt kinnituse ja kinnitas selle mõistlikkust rahapesu tõkestamise / klienditundmise põhimõtte alusel Q-lt kogutud dokumentide põhjal. Kinnitus kinnitab, et Q on jurisdiktsiooni V maksuresident. Kaks aastat pärast lepingu sõlmimist Q-ga esitab Q B-le telefoninumbri, mis asub jurisdiktsioonis W. Kuigi B toimikus ei olnud varem Q telefoninumbrit, ei anna pelk asjaolu, et Q esitas jurisdiktsiooni W telefoninumbri, alust arvata, et esialgne kinnitus ei ole usaldusväärne või õige.</w:t>
      </w:r>
    </w:p>
    <w:p w:rsidR="00010DDB" w:rsidRPr="00E74148" w:rsidRDefault="00010DDB" w:rsidP="00E74148">
      <w:pPr>
        <w:pStyle w:val="Pealkiri3"/>
        <w:keepNext w:val="0"/>
        <w:widowControl w:val="0"/>
        <w:spacing w:after="100" w:afterAutospacing="1"/>
        <w:rPr>
          <w:sz w:val="24"/>
          <w:szCs w:val="24"/>
        </w:rPr>
      </w:pPr>
      <w:bookmarkStart w:id="197" w:name="_Toc420331849"/>
      <w:bookmarkStart w:id="198" w:name="_Toc420331918"/>
      <w:r>
        <w:rPr>
          <w:sz w:val="24"/>
        </w:rPr>
        <w:t>Lõige B – rahalise väärtusega kindlustuslepingute või annuiteedilepingute alternatiivsed menetluseeskirjad</w:t>
      </w:r>
      <w:bookmarkEnd w:id="197"/>
      <w:bookmarkEnd w:id="198"/>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Lõige B sisaldab füüsiliste isikute rahalise väärtusega kindlustuslepingute või annuiteedilepingute alternatiivseid menetluseeskirju, mis lihtsustavad muidu kohaldatavaid hoolsusmeetmeid. Aruandekohustuslik finantsasutus võib eeldada, et rahalise väärtusega kindlustuslepingust või annuiteedilepingust surma korral hüvitist saav füüsilisest isikust tulusaaja (kes ei ole kontoomanik) ei ole avaldatav isik ja võib sellist kontot käsitada muu kui avaldatava kontona, välja arvatud juhul, kui aruandekohustuslik finantsasutus teab või tal on alust arvata, et tulusaaja on avaldatav isik.</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Aruandekohustuslikul finantsasutusel on alust arvata, et rahalise väärtusega kindlustuslepingu või annuiteedilepingu tulusaaja on avaldatav isik, kui aruandekohustusliku finantsasutuse kogutud ja tulusaajaga seostatud teave sisaldab III osa lõikes B kirjeldatud tunnust. Kui aruandekohustuslik finantsasutus teab või tal on alust arvata, et tulusaaja on avaldatav isik, peab aruandekohustuslik finantsasutus järgima III osa lõike B menetluseeskirju.</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Kirjeldatuga sarnane alternatiivne eeskiri võib olla vajalik teatud tööandja finantseeritud grupikindlustuslepingute või -annuiteedilepingute puhul. Kui tööandjale esitatakse grupikindlustusleping või grupiannuiteedileping, milles on kindlustatud isikuteks / tulusaajateks märgitud töötajad, puudub kindlustusettevõttel lepingu jõustumisel otsene suhe töötajaga / sertifikaadi omanikuga. Sellist eeskirja sätestada soovivad jurisdiktsioonid võivad lisada järgmise sätte:</w:t>
      </w:r>
    </w:p>
    <w:p w:rsidR="00010DDB" w:rsidRPr="00E74148" w:rsidRDefault="00010DDB" w:rsidP="00E74148">
      <w:pPr>
        <w:pStyle w:val="Kehatekst"/>
        <w:widowControl w:val="0"/>
        <w:spacing w:after="100" w:afterAutospacing="1"/>
        <w:rPr>
          <w:i/>
          <w:sz w:val="24"/>
          <w:szCs w:val="24"/>
        </w:rPr>
      </w:pPr>
      <w:r>
        <w:rPr>
          <w:i/>
          <w:sz w:val="24"/>
        </w:rPr>
        <w:t>Aruandekohustuslik finantsasutus võib käsitada finantskontot, millega liige osaleb rahalise väärtusega grupikindlustuslepingus või grupiannuiteedilepingus, finantskontona, mis ei ole avaldatav konto, kuni kuupäevani, mil töötajale / sertifikaadi omanikule või tulusaajale tuleb teha väljamakse, kui finantskonto, millega liige osaleb rahalise väärtusega grupikindlustuslepingus või grupiannuiteedilepingus, vastab järgmistele nõuetele:</w:t>
      </w:r>
    </w:p>
    <w:p w:rsidR="00010DDB" w:rsidRPr="00E74148" w:rsidRDefault="00010DDB" w:rsidP="00E74148">
      <w:pPr>
        <w:pStyle w:val="Kehatekst"/>
        <w:widowControl w:val="0"/>
        <w:spacing w:after="100" w:afterAutospacing="1"/>
        <w:rPr>
          <w:i/>
          <w:sz w:val="24"/>
          <w:szCs w:val="24"/>
        </w:rPr>
      </w:pPr>
      <w:r>
        <w:rPr>
          <w:i/>
          <w:sz w:val="24"/>
        </w:rPr>
        <w:t>a) rahalise väärtusega grupikindlustusleping või grupiannuiteedileping väljastatakse tööandjale ja see hõlmab 25 või enamat töötajat / sertifikaadi omanikku;</w:t>
      </w:r>
    </w:p>
    <w:p w:rsidR="00010DDB" w:rsidRPr="00E74148" w:rsidRDefault="00010DDB" w:rsidP="00E74148">
      <w:pPr>
        <w:pStyle w:val="Kehatekst"/>
        <w:widowControl w:val="0"/>
        <w:spacing w:after="100" w:afterAutospacing="1"/>
        <w:rPr>
          <w:i/>
          <w:sz w:val="24"/>
          <w:szCs w:val="24"/>
        </w:rPr>
      </w:pPr>
      <w:r>
        <w:rPr>
          <w:i/>
          <w:sz w:val="24"/>
        </w:rPr>
        <w:lastRenderedPageBreak/>
        <w:t>b) töötajatel / sertifikaadi omanikel on õigus nende huvidega seotud lepingusummale ja nimetada töötaja surma korral toetust saavad isikud; ja</w:t>
      </w:r>
    </w:p>
    <w:p w:rsidR="00010DDB" w:rsidRPr="00E74148" w:rsidRDefault="00010DDB" w:rsidP="00E74148">
      <w:pPr>
        <w:pStyle w:val="Kehatekst"/>
        <w:widowControl w:val="0"/>
        <w:spacing w:after="100" w:afterAutospacing="1"/>
        <w:rPr>
          <w:i/>
          <w:sz w:val="24"/>
          <w:szCs w:val="24"/>
        </w:rPr>
      </w:pPr>
      <w:r>
        <w:rPr>
          <w:i/>
          <w:sz w:val="24"/>
        </w:rPr>
        <w:t>c) mis tahes töötajale / sertifikaadi omanikule või tulusaajale makstav kogusumma ei ületa 1 000 000 USA dollarit.</w:t>
      </w:r>
    </w:p>
    <w:p w:rsidR="00010DDB" w:rsidRPr="00E74148" w:rsidRDefault="00010DDB" w:rsidP="00E74148">
      <w:pPr>
        <w:pStyle w:val="Kehatekst"/>
        <w:widowControl w:val="0"/>
        <w:spacing w:after="100" w:afterAutospacing="1"/>
        <w:rPr>
          <w:i/>
          <w:sz w:val="24"/>
          <w:szCs w:val="24"/>
        </w:rPr>
      </w:pPr>
      <w:r>
        <w:rPr>
          <w:i/>
          <w:sz w:val="24"/>
        </w:rPr>
        <w:t>Rahalise väärtusega grupikindlustusleping tähendab rahalise väärtusega kindlustuslepingut, (i) mis pakub kaitset füüsilistele isikutele, kes on ühendatud tööandja, kutseühingu, ametiühingu või muu liidu või grupi kaudu, ja (ii) mille puhul tuleb grupi iga liikme (või grupisisese klassi liikme) kohta maksta tasu, mis määratakse kindlaks arvestamata iga isiku tervisega seotud näitajaid, välja arvatud grupi liikme (või liikmete klassi) vanus, sugu ja asjaolu, kas ta suitsetab. Grupiannuiteedileping tähendab annuiteedilepingut, mille alusel on kohustatud isikud füüsilised isikud, kes on ühendatud tööandja, kutseühingu, ametiühingu või muu liidu või grupi kaudu.</w:t>
      </w:r>
    </w:p>
    <w:p w:rsidR="00010DDB" w:rsidRPr="00E74148" w:rsidRDefault="00010DDB" w:rsidP="00E74148">
      <w:pPr>
        <w:pStyle w:val="Pealkiri3"/>
        <w:keepNext w:val="0"/>
        <w:widowControl w:val="0"/>
        <w:spacing w:after="100" w:afterAutospacing="1"/>
        <w:rPr>
          <w:sz w:val="24"/>
          <w:szCs w:val="24"/>
        </w:rPr>
      </w:pPr>
      <w:bookmarkStart w:id="199" w:name="_Toc420331850"/>
      <w:bookmarkStart w:id="200" w:name="_Toc420331919"/>
      <w:r>
        <w:rPr>
          <w:sz w:val="24"/>
        </w:rPr>
        <w:t>Lõige C – kontojäägi liitmise ja valuuta arvestamise eeskirjad</w:t>
      </w:r>
      <w:bookmarkEnd w:id="199"/>
      <w:bookmarkEnd w:id="200"/>
    </w:p>
    <w:p w:rsidR="00010DDB" w:rsidRPr="00E74148" w:rsidRDefault="00010DDB" w:rsidP="00E74148">
      <w:pPr>
        <w:pStyle w:val="Pealkiri4"/>
        <w:keepNext w:val="0"/>
        <w:widowControl w:val="0"/>
        <w:spacing w:after="100" w:afterAutospacing="1"/>
        <w:rPr>
          <w:sz w:val="24"/>
          <w:szCs w:val="24"/>
        </w:rPr>
      </w:pPr>
      <w:r>
        <w:rPr>
          <w:sz w:val="24"/>
        </w:rPr>
        <w:t>Lõike C punktid 1 kuni 3 – kontode liitmise eeskirjad</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punktides 1 kuni 3 sätestatakse kontode liitmise eeskirjad, mida aruandekohustuslikud finantsasutused peavad järgima, et teha kindlaks finantskontode koondjääk või -väärtus.</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Esimene ja teine kontode liitmise eeskiri on identsed, välja arvatud asjaolu, et esimene eeskiri kehtib füüsiliste isikute finantskontodele ja teine eeskiri ettevõtte finantskontodele. Eeskirjad sätestavad, et</w:t>
      </w:r>
    </w:p>
    <w:p w:rsidR="00010DDB" w:rsidRPr="00E74148" w:rsidRDefault="00010DDB" w:rsidP="00E74148">
      <w:pPr>
        <w:pStyle w:val="Loenditpp"/>
        <w:widowControl w:val="0"/>
        <w:spacing w:after="100" w:afterAutospacing="1"/>
        <w:rPr>
          <w:sz w:val="24"/>
          <w:szCs w:val="24"/>
        </w:rPr>
      </w:pPr>
      <w:r>
        <w:rPr>
          <w:sz w:val="24"/>
        </w:rPr>
        <w:t>aruandekohustuslik finantsasutus on kohustatud liitma kokku (või võtma arvesse) kõik aruandekohustusliku finantsasutuse või sellega seotud ettevõtete hallatavad finantskontod, kuid üksnes niivõrd, kuivõrd aruandekohustusliku finantsasutuse arvutisüsteemid seostavad finantskontosid omavahel teatud andmeelementide alusel nagu näiteks kliendinumber või TIN ning võimaldavad kontojääkide või -väärtuste liitmist;</w:t>
      </w:r>
    </w:p>
    <w:p w:rsidR="00010DDB" w:rsidRPr="00E74148" w:rsidRDefault="00010DDB" w:rsidP="00E74148">
      <w:pPr>
        <w:pStyle w:val="Loenditpp"/>
        <w:widowControl w:val="0"/>
        <w:spacing w:after="100" w:afterAutospacing="1"/>
        <w:rPr>
          <w:sz w:val="24"/>
          <w:szCs w:val="24"/>
        </w:rPr>
      </w:pPr>
      <w:r>
        <w:rPr>
          <w:sz w:val="24"/>
        </w:rPr>
        <w:t>liitmisnõuete rakendamiseks omistatakse igale kaasomandis oleva finantskonto omanikule vastava ühise konto kogujääk või -väärtus.</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Kolmas kontode liitmise eeskiri on erieeskiri, mida rakendatakse selleks, et teha kindlaks, kas finantskonto on kõrgema väärtusega konto. Selle eeskirja alusel peab aruandekohustuslik finantsasutus lisaks muudele kontode liitmise eeskirjadele liitma kokku kõik finantskontod, mille kohta kliendihaldur teab või mille kohta tal on alust arvata, et nende kontode otsene või kaudne omanik, kontrolliv isik või asutaja on üks ja seesama isik, välja arvatud juhul, kui see isik tegutseb teise isiku esindajana (vt punkti 3 eespool ja III osa kommentaaride punkte 38–42). See nõue tähendab, et liita tuleb kõik kontod, mille kliendihaldur on omavahel seostanud nime, suhtekoodi, kliendi tunnusnumbri, TIN-i või muu sarnase näitaja alusel või mida kliendihaldur üldjuhul seostaks omavahel finantsasutuse (või osakonna, talituse või üksuse, millega kliendihaldur seotud on) eeskirjade alusel.</w:t>
      </w:r>
    </w:p>
    <w:p w:rsidR="00010DDB" w:rsidRPr="00D91E26" w:rsidRDefault="00F15FDA" w:rsidP="00324DEF">
      <w:pPr>
        <w:pStyle w:val="Num-DocParagraph"/>
        <w:widowControl w:val="0"/>
        <w:numPr>
          <w:ilvl w:val="0"/>
          <w:numId w:val="68"/>
        </w:numPr>
        <w:tabs>
          <w:tab w:val="clear" w:pos="850"/>
          <w:tab w:val="left" w:pos="567"/>
        </w:tabs>
        <w:spacing w:before="240" w:after="100" w:afterAutospacing="1"/>
        <w:ind w:left="0" w:firstLine="0"/>
        <w:rPr>
          <w:spacing w:val="-4"/>
          <w:sz w:val="24"/>
          <w:szCs w:val="24"/>
        </w:rPr>
      </w:pPr>
      <w:r w:rsidRPr="00D91E26">
        <w:rPr>
          <w:spacing w:val="-4"/>
          <w:sz w:val="24"/>
          <w:szCs w:val="24"/>
        </w:rPr>
        <w:fldChar w:fldCharType="begin"/>
      </w:r>
      <w:r w:rsidR="00010DDB" w:rsidRPr="00D91E26">
        <w:rPr>
          <w:spacing w:val="-4"/>
          <w:sz w:val="24"/>
          <w:szCs w:val="24"/>
        </w:rPr>
        <w:instrText>MACROBUTTON NUMBERING</w:instrText>
      </w:r>
      <w:r w:rsidRPr="00D91E26">
        <w:rPr>
          <w:spacing w:val="-4"/>
          <w:sz w:val="24"/>
          <w:szCs w:val="24"/>
        </w:rPr>
        <w:fldChar w:fldCharType="end"/>
      </w:r>
      <w:r w:rsidR="00010DDB" w:rsidRPr="00D91E26">
        <w:rPr>
          <w:spacing w:val="-4"/>
          <w:sz w:val="24"/>
        </w:rPr>
        <w:t>Mõnes jurisdiktsioonis ei võimalda riigisisene õigus kontosid liita lõike C punktides 1 kuni 3 ette nähtud viisil. Näiteks võivad aruandekohustusliku finantsasutuse arvutisüsteemid suuta seostada kõiki aruande</w:t>
      </w:r>
      <w:r w:rsidR="00D91E26">
        <w:rPr>
          <w:spacing w:val="-4"/>
          <w:sz w:val="24"/>
        </w:rPr>
        <w:softHyphen/>
      </w:r>
      <w:r w:rsidR="00010DDB" w:rsidRPr="00D91E26">
        <w:rPr>
          <w:spacing w:val="-4"/>
          <w:sz w:val="24"/>
        </w:rPr>
        <w:t xml:space="preserve">kohustusliku finantsasutuse ja sellega seotud ettevõtete hallatavaid </w:t>
      </w:r>
      <w:r w:rsidR="00010DDB" w:rsidRPr="00D91E26">
        <w:rPr>
          <w:spacing w:val="-4"/>
          <w:sz w:val="24"/>
        </w:rPr>
        <w:lastRenderedPageBreak/>
        <w:t>finantskontosid omavahel, kuid riigisisene õigus võib seada ühele või enamale sellisele ettevõttele piirangud kontoomanike isikuandmete jagamiseks aruandekohustusliku finantsasutusega. Sellisel juhul peab aruandekohustuslik finantsasutus rakendama lõike C punktides 1 kuni 3 ette nähtud kontode liitmise eeskirju, kuid üksnes riigisisese õigusega lubatud ulatuses.</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Allolevad näited illustreerivad kontode liitmise eeskirjade kohaldamist.</w:t>
      </w:r>
    </w:p>
    <w:p w:rsidR="00010DDB" w:rsidRPr="00E74148" w:rsidRDefault="00010DDB" w:rsidP="00E74148">
      <w:pPr>
        <w:pStyle w:val="Loenditpp"/>
        <w:widowControl w:val="0"/>
        <w:spacing w:after="100" w:afterAutospacing="1"/>
        <w:rPr>
          <w:sz w:val="24"/>
          <w:szCs w:val="24"/>
        </w:rPr>
      </w:pPr>
      <w:r>
        <w:rPr>
          <w:sz w:val="24"/>
        </w:rPr>
        <w:t>Näide 1 (aruandekohustuslik finantsasutus ei ole kohustatud kontosid liitma). Ettevõttel U on hoiusekonto kommertspangas AP, mis on aruandekohustuslik finantsasutus. U konto jääk esimese aasta lõpu seisuga on 160 000 USA dollarit. U-l on AP-s ka teine hoiusekonto, mille jääk on esimese aasta lõpu seisuga 165 000 USA dollarit. AP jaepangandusosakonnad jagavad teabehalduse arvutisüsteemi, kuid U kontod ei ole selles süsteemis omavahel seotud. Kuna kontod ei ole AP süsteemis omavahel seotud, ei pea AP kontosid lõike C punktide 2 ja 3 alusel liitma ning mõlemale kontole saab kohaldada V osa lõikes A nimetatud erandit, kuna kummagi konto jääk ei ületa 250 000 USA dollari suurust piirmäära.</w:t>
      </w:r>
    </w:p>
    <w:p w:rsidR="00010DDB" w:rsidRPr="00E74148" w:rsidRDefault="00010DDB" w:rsidP="00E74148">
      <w:pPr>
        <w:pStyle w:val="Loenditpp"/>
        <w:widowControl w:val="0"/>
        <w:spacing w:after="100" w:afterAutospacing="1"/>
        <w:rPr>
          <w:sz w:val="24"/>
          <w:szCs w:val="24"/>
        </w:rPr>
      </w:pPr>
      <w:r>
        <w:rPr>
          <w:sz w:val="24"/>
        </w:rPr>
        <w:t>Näide 2 (aruandekohustuslik finantsasutus on kohustatud kontosid liitma). Asjaolud on samad nagu esimeses näites, kuid U mõlemad hoiusekontod on seotud U-ga ja omavahel AP asutusesisese tunnusnumbri alusel. Süsteem näitab ära mõlema konto jäägid, mida võib elektrooniliselt liita, kuigi süsteem ei näita kontode koondjääki. Selleks et teha kindlaks, kas sellised kontod vastavad V osa lõikes A nimetatud erandile seoses kontodega, mille koondjääk või -väärtus on 250 000 USA dollarit või vähem, peab AP kontode liitmise eeskirjade alusel kokku liitma kõikide hoiusekontode jäägid. Nende eeskirjade alusel käsitatakse U-d ettevõttena, kellel on AP-s hoiusekontod, mille koondjääk on 325 000 USA dollarit. Seega ei vasta kumbki konto erandile, kuna kokkuliidetuna ületab kontode koondjääk 250 000 USA dollari suurust piirmäära.</w:t>
      </w:r>
    </w:p>
    <w:p w:rsidR="00010DDB" w:rsidRPr="00E74148" w:rsidRDefault="00010DDB" w:rsidP="00E74148">
      <w:pPr>
        <w:pStyle w:val="Loenditpp"/>
        <w:widowControl w:val="0"/>
        <w:spacing w:after="100" w:afterAutospacing="1"/>
        <w:rPr>
          <w:sz w:val="24"/>
          <w:szCs w:val="24"/>
        </w:rPr>
      </w:pPr>
      <w:r>
        <w:rPr>
          <w:sz w:val="24"/>
        </w:rPr>
        <w:t>Näide 3 (aruandekohustusliku finantsasutuse hallatavate ühiskontode liitmise eeskirjad). Esimesel aastal on füüsilisel isikul U hoidmiskonto, mis on olemasolev konto aruandekohustuslikust finantsasutusest hoiupangas SH. U hoidmiskonto jääk esimese aasta lõpu seisuga on 700 000 USA dollarit. U-l on ka teises hoiupangas SH2 hoidmiskonto, mis on olemasolev konto, mis on U ja tema õe A kaasomandis. Ühiskonto jääk esimese aasta lõpu seisuga on samuti 700 000 USA dollarit. SH ja SH2 on sidusettevõtted ja jagavad teabehalduse arvutisüsteemi. Nii U hoidmiskonto SH-s kui ka U ja A hoidmiskonto SH2-s on seotud U-ga ja omavahel SH-de sisese tunnusnumbri alusel ning arvutisüsteem võimaldab kontojäägid kokku liita. Selleks et teha kindlaks, kas sellised kontod vastavad kõrgema väärtusega konto mõistele, peab SH kontode liitmise eeskirjade alusel kokku liitma kontode, mille omanik on täielikult või osaliselt üks ja seesama isik, jäägid. Nende eeskirjade alusel käsitatakse U-d isikuna, kellel on finantskonto nii SH-s kui ka SH2-s ning nende kontode koondjääk on 1 400 000 USA dollarit. Selle tõttu on U mõlemad kontod kõrgema väärtusega kontod. A-d käsitatakse isikuna, kellel on SH2-s finantskonto, mille jääk on 700 000 USA dollarit, kuna ta ei ole U SH-s oleva hoidmiskonto omanik. Seega on A konto madalama väärtusega konto.</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Järgnevalt on toodud veel mõned näited, mis illustreerivad kliendihaldurile kohaldatava kontode liitmise erieeskirja rakendamist.</w:t>
      </w:r>
    </w:p>
    <w:p w:rsidR="00010DDB" w:rsidRPr="00E74148" w:rsidRDefault="00010DDB" w:rsidP="00E74148">
      <w:pPr>
        <w:pStyle w:val="Loenditpp"/>
        <w:widowControl w:val="0"/>
        <w:spacing w:after="100" w:afterAutospacing="1"/>
        <w:rPr>
          <w:sz w:val="24"/>
          <w:szCs w:val="24"/>
        </w:rPr>
      </w:pPr>
      <w:r>
        <w:rPr>
          <w:sz w:val="24"/>
        </w:rPr>
        <w:t xml:space="preserve">Näide 1 (kontode omanik on passiivne NFE ja üks seda kontrollivatest isikutest). Passiivsel NFE-l T on hoiusekonto kommertspangas A, mis on aruandekohustuslik </w:t>
      </w:r>
      <w:r>
        <w:rPr>
          <w:sz w:val="24"/>
        </w:rPr>
        <w:lastRenderedPageBreak/>
        <w:t>finantsasutus. Ka ühel T-d kontrollivatest isikutest N-il on hoiusekonto A-s. Mõlemad kontod on seotud N-iga ja omavahel A asutusesisese tunnusnumbri alusel. Lisaks on A määranud N-ile kliendihalduri. Kuna kontod on A süsteemis ja kliendihalduri kaudu omavahel seotud, peab A kontod liitma lõike C punktide 1 kuni 3 alusel.</w:t>
      </w:r>
    </w:p>
    <w:p w:rsidR="00010DDB" w:rsidRPr="00E74148" w:rsidRDefault="00010DDB" w:rsidP="00E74148">
      <w:pPr>
        <w:pStyle w:val="Loenditpp"/>
        <w:widowControl w:val="0"/>
        <w:spacing w:after="100" w:afterAutospacing="1"/>
        <w:rPr>
          <w:sz w:val="24"/>
          <w:szCs w:val="24"/>
        </w:rPr>
      </w:pPr>
      <w:r>
        <w:rPr>
          <w:sz w:val="24"/>
        </w:rPr>
        <w:t>Näide 2 (kontode omanikud on erinevad passiivsed NFE-d, millel on ühine kontrolliv isik). Asjaolud on samad nagu esimeses näites. Lisaks on teisel passiivsel NFE-l I hoiusekonto A-s. N on üks I-d kontrollivatest isikutest. I konto ei ole seotud ei N-iga ega T ega N-i kontodega A asutusesisese tunnusnumbri alusel. Kuna kontod on seotud kliendihalduri kaudu, peab A kontod liitma lõike C punktide 1 kuni 3 alusel.</w:t>
      </w:r>
    </w:p>
    <w:p w:rsidR="00010DDB" w:rsidRPr="00E74148" w:rsidRDefault="00010DDB" w:rsidP="00E74148">
      <w:pPr>
        <w:pStyle w:val="Pealkiri4"/>
        <w:keepNext w:val="0"/>
        <w:widowControl w:val="0"/>
        <w:spacing w:after="100" w:afterAutospacing="1"/>
        <w:rPr>
          <w:sz w:val="24"/>
          <w:szCs w:val="24"/>
        </w:rPr>
      </w:pPr>
      <w:r>
        <w:rPr>
          <w:sz w:val="24"/>
        </w:rPr>
        <w:t>Lõike C punkt 4 – valuuta arvestamise eeskiri</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punktis 4 sätestatakse valuuta arvestamise eeskiri, mille kohaselt on kõik summad USA dollarites ning hõlmavad nende summade ekvivalenti muudes valuutades, mis on kindlaks määratud riigisisese õiguse järgi. Eeldatakse, et ühtse aruandluse standardit rakendades kasutavad jurisdiktsioonid standardis USA dollarites kindlaks määratud piirmäära ekvivalenti oma valuutas. Kuid see ekvivalent ei pea olema täpne, vaid piisab ka ligikaudsest summast.</w:t>
      </w:r>
    </w:p>
    <w:p w:rsidR="00010DDB" w:rsidRPr="00E74148" w:rsidRDefault="00F15FDA" w:rsidP="00324DEF">
      <w:pPr>
        <w:pStyle w:val="Num-DocParagraph"/>
        <w:widowControl w:val="0"/>
        <w:numPr>
          <w:ilvl w:val="0"/>
          <w:numId w:val="68"/>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Ühtset aruandluse standardit rakendades võivad jurisdiktsioonid lubada aruandekohustuslikel finantsasutustel kasutada standardis nimetatud piirmäärasid USA dollarites koos nende ekvivalentidega oma valuutas. See võimaldab mitmes jurisdiktsioonis tegutsevatel finantsasutustel kasutada piirmäärasid samas valuutas kõikides jurisdiktsioonides, kus nad tegutsevad.</w:t>
      </w:r>
    </w:p>
    <w:p w:rsidR="00010DDB" w:rsidRPr="00E74148" w:rsidRDefault="00010DDB" w:rsidP="00E74148">
      <w:pPr>
        <w:pStyle w:val="Pealkiri1"/>
        <w:keepNext w:val="0"/>
        <w:widowControl w:val="0"/>
        <w:spacing w:after="100" w:afterAutospacing="1"/>
        <w:rPr>
          <w:sz w:val="24"/>
          <w:szCs w:val="24"/>
        </w:rPr>
      </w:pPr>
      <w:bookmarkStart w:id="201" w:name="_Toc389723159"/>
      <w:bookmarkStart w:id="202" w:name="_Toc374431994"/>
      <w:bookmarkStart w:id="203" w:name="_Toc374431919"/>
      <w:bookmarkStart w:id="204" w:name="_Toc420331851"/>
      <w:bookmarkStart w:id="205" w:name="_Toc420331920"/>
      <w:r>
        <w:rPr>
          <w:sz w:val="24"/>
        </w:rPr>
        <w:t>Mõisteid käsitleva VIII osa kommentaarid</w:t>
      </w:r>
      <w:bookmarkEnd w:id="201"/>
      <w:bookmarkEnd w:id="202"/>
      <w:bookmarkEnd w:id="203"/>
      <w:bookmarkEnd w:id="204"/>
      <w:bookmarkEnd w:id="205"/>
    </w:p>
    <w:p w:rsidR="00010DDB" w:rsidRPr="00E74148" w:rsidRDefault="00F15FDA" w:rsidP="00324DEF">
      <w:pPr>
        <w:pStyle w:val="Num-DocParagraph"/>
        <w:widowControl w:val="0"/>
        <w:numPr>
          <w:ilvl w:val="0"/>
          <w:numId w:val="7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PARADOC</w:instrText>
      </w:r>
      <w:r w:rsidRPr="00E74148">
        <w:rPr>
          <w:sz w:val="24"/>
          <w:szCs w:val="24"/>
        </w:rPr>
        <w:fldChar w:fldCharType="end"/>
      </w:r>
      <w:r w:rsidRPr="00E74148">
        <w:rPr>
          <w:sz w:val="24"/>
          <w:szCs w:val="24"/>
        </w:rPr>
        <w:fldChar w:fldCharType="begin"/>
      </w:r>
      <w:r w:rsidR="00010DDB">
        <w:rPr>
          <w:sz w:val="24"/>
          <w:szCs w:val="24"/>
        </w:rPr>
        <w:instrText>MACROBUTTON CHAP</w:instrText>
      </w:r>
      <w:r w:rsidRPr="00E74148">
        <w:rPr>
          <w:sz w:val="24"/>
          <w:szCs w:val="24"/>
        </w:rPr>
        <w:fldChar w:fldCharType="end"/>
      </w:r>
      <w:r w:rsidRPr="00E74148">
        <w:rPr>
          <w:sz w:val="24"/>
          <w:szCs w:val="24"/>
        </w:rPr>
        <w:fldChar w:fldCharType="begin"/>
      </w:r>
      <w:r w:rsidR="00010DDB">
        <w:rPr>
          <w:sz w:val="24"/>
          <w:szCs w:val="24"/>
        </w:rPr>
        <w:instrText>MACROBUTTON PARACHAP</w:instrText>
      </w:r>
      <w:r w:rsidRPr="00E74148">
        <w:rPr>
          <w:sz w:val="24"/>
          <w:szCs w:val="24"/>
        </w:rPr>
        <w:fldChar w:fldCharType="end"/>
      </w: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VIII osa sisaldab mõisteid, mis on jagatud viieks grupiks: A) aruandekohustuslik finantsasutus, B) mittearuandekohustuslik finantsasutus, C) finantskonto, D) avaldatav konto ja E) mitmesugust.</w:t>
      </w:r>
    </w:p>
    <w:p w:rsidR="00010DDB" w:rsidRPr="00E74148" w:rsidRDefault="00010DDB" w:rsidP="00E74148">
      <w:pPr>
        <w:pStyle w:val="Pealkiri3"/>
        <w:keepNext w:val="0"/>
        <w:widowControl w:val="0"/>
        <w:spacing w:after="100" w:afterAutospacing="1"/>
        <w:rPr>
          <w:sz w:val="24"/>
          <w:szCs w:val="24"/>
        </w:rPr>
      </w:pPr>
      <w:bookmarkStart w:id="206" w:name="_Toc420331852"/>
      <w:bookmarkStart w:id="207" w:name="_Toc420331921"/>
      <w:r>
        <w:rPr>
          <w:sz w:val="24"/>
        </w:rPr>
        <w:t>Lõige A – aruandekohustuslik finantsasutus</w:t>
      </w:r>
      <w:bookmarkEnd w:id="206"/>
      <w:bookmarkEnd w:id="207"/>
    </w:p>
    <w:p w:rsidR="00010DDB" w:rsidRPr="00E74148" w:rsidRDefault="00010DDB" w:rsidP="00E74148">
      <w:pPr>
        <w:pStyle w:val="Pealkiri4"/>
        <w:keepNext w:val="0"/>
        <w:widowControl w:val="0"/>
        <w:spacing w:after="100" w:afterAutospacing="1"/>
        <w:rPr>
          <w:sz w:val="24"/>
          <w:szCs w:val="24"/>
        </w:rPr>
      </w:pPr>
      <w:r>
        <w:rPr>
          <w:sz w:val="24"/>
        </w:rPr>
        <w:t>Lõike A punktid 1 ja 2 – aruandekohustuslik finantsasutus</w:t>
      </w:r>
    </w:p>
    <w:p w:rsidR="00010DDB" w:rsidRPr="00E74148" w:rsidRDefault="00010DDB" w:rsidP="00E74148">
      <w:pPr>
        <w:pStyle w:val="Pealkiri5"/>
        <w:widowControl w:val="0"/>
        <w:spacing w:after="100" w:afterAutospacing="1"/>
        <w:rPr>
          <w:sz w:val="24"/>
          <w:szCs w:val="24"/>
        </w:rPr>
      </w:pPr>
      <w:r>
        <w:rPr>
          <w:sz w:val="24"/>
        </w:rPr>
        <w:t>Aruandekohustuslik finantsasutus</w:t>
      </w:r>
    </w:p>
    <w:p w:rsidR="00010DDB" w:rsidRPr="00E74148" w:rsidRDefault="00F15FDA" w:rsidP="00324DEF">
      <w:pPr>
        <w:pStyle w:val="Num-DocParagraph"/>
        <w:widowControl w:val="0"/>
        <w:numPr>
          <w:ilvl w:val="0"/>
          <w:numId w:val="7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punktis 1 on aruandekohustuslik finantsasutus määratletud kui osaleva jurisdiktsiooni finantsasutus, mis ei ole mittearuandekohustuslik finantsasutus. Seega selleks, et finantsasutust saaks pidada aruandekohustuslikuks finantsasutuseks, peab see esiteks olema osaleva jurisdiktsiooni finantsasutus ja teiseks ei tohi see olla mittearuandekohustuslik finantsasutus. Lõikes B sätestatakse mittearuandekohustusliku finantsasutuse mõiste tähendus mitme määratluse kaudu.</w:t>
      </w:r>
    </w:p>
    <w:p w:rsidR="00010DDB" w:rsidRPr="00E74148" w:rsidRDefault="00010DDB" w:rsidP="00E74148">
      <w:pPr>
        <w:pStyle w:val="Pealkiri5"/>
        <w:widowControl w:val="0"/>
        <w:spacing w:after="100" w:afterAutospacing="1"/>
        <w:rPr>
          <w:sz w:val="24"/>
          <w:szCs w:val="24"/>
        </w:rPr>
      </w:pPr>
      <w:r>
        <w:rPr>
          <w:sz w:val="24"/>
        </w:rPr>
        <w:t>Osaleva jurisdiktsiooni finantsasutus</w:t>
      </w:r>
    </w:p>
    <w:p w:rsidR="00010DDB" w:rsidRPr="00E74148" w:rsidRDefault="00F15FDA" w:rsidP="00324DEF">
      <w:pPr>
        <w:pStyle w:val="Num-DocParagraph"/>
        <w:widowControl w:val="0"/>
        <w:numPr>
          <w:ilvl w:val="0"/>
          <w:numId w:val="75"/>
        </w:numPr>
        <w:tabs>
          <w:tab w:val="clear" w:pos="850"/>
          <w:tab w:val="left" w:pos="567"/>
        </w:tabs>
        <w:spacing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Osaleva jurisdiktsiooni finantsasutus on lõike A punktis 2 määratletud järgmiselt:</w:t>
      </w:r>
    </w:p>
    <w:p w:rsidR="00010DDB" w:rsidRPr="00E74148" w:rsidRDefault="00010DDB" w:rsidP="00E74148">
      <w:pPr>
        <w:pStyle w:val="Loenditpp"/>
        <w:widowControl w:val="0"/>
        <w:spacing w:after="100" w:afterAutospacing="1"/>
        <w:rPr>
          <w:sz w:val="24"/>
          <w:szCs w:val="24"/>
        </w:rPr>
      </w:pPr>
      <w:r>
        <w:rPr>
          <w:sz w:val="24"/>
        </w:rPr>
        <w:t>osaleva jurisdiktsiooni residendist finantsasutus, välja arvatud sellise finantsasutuse väljaspool osalevat jurisdiktsiooni asuv filiaal, ja</w:t>
      </w:r>
    </w:p>
    <w:p w:rsidR="00010DDB" w:rsidRPr="00E74148" w:rsidRDefault="00010DDB" w:rsidP="00E74148">
      <w:pPr>
        <w:pStyle w:val="Loenditpp"/>
        <w:widowControl w:val="0"/>
        <w:spacing w:after="100" w:afterAutospacing="1"/>
        <w:rPr>
          <w:sz w:val="24"/>
          <w:szCs w:val="24"/>
        </w:rPr>
      </w:pPr>
      <w:r>
        <w:rPr>
          <w:sz w:val="24"/>
        </w:rPr>
        <w:t>osaleva jurisdiktsiooni mitteresidendist finantsasutuse filiaal.</w:t>
      </w:r>
    </w:p>
    <w:p w:rsidR="00010DDB" w:rsidRPr="00E74148" w:rsidRDefault="00F15FDA" w:rsidP="00324DEF">
      <w:pPr>
        <w:pStyle w:val="Num-DocParagraph"/>
        <w:widowControl w:val="0"/>
        <w:numPr>
          <w:ilvl w:val="0"/>
          <w:numId w:val="7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tähenduses on finantsasutus osaleva jurisdiktsiooni resident, kui ta allub osaleva jurisdiktsiooni võimule (s.t osalev jurisdiktsioon saab kohustada finantsasutust teavet edastama). Üldiselt kui finantsasutus on osaleva jurisdiktsiooni maksuresident, allub ta selle osaleva jurisdiktsiooni võimule, mistõttu on ta osaleva jurisdiktsiooni finantsasutus. Finantsasutusest usaldusfondi korral (olenemata sellest, kas ta on osaleva jurisdiktsiooni maksuresident) loetakse, et usaldusfond allub osaleva jurisdiktsiooni võimule, kui üks või enam fondivalitsejat on selle osaleva jurisdiktsiooni residendid, välja arvatud juhul, kui usaldusfond edastab kogu CRS-i alusel nõutava teabe usaldusfondi hallatavate avaldatavate kontode kohta teisele osalevale jurisdiktsioonile, kuna ta on selle teise osaleva jurisdiktsiooni maksuresident. Kuid kui finantsasutusel (mis ei ole usaldusfond) maksuresidentsus puudub (näiteks kuna seda käsitatakse maksualaselt läbipaistvana või kuna see asub jurisdiktsioonis, kus ei ole tulumaksu kehtestatud), loetakse, et see allub osaleva jurisdiktsiooni võimule ja on seega osaleva jurisdiktsiooni finantsasutus, kui</w:t>
      </w:r>
    </w:p>
    <w:p w:rsidR="00010DDB" w:rsidRPr="00E74148" w:rsidRDefault="00010DDB" w:rsidP="005C33A2">
      <w:pPr>
        <w:pStyle w:val="Loendinumber"/>
        <w:widowControl w:val="0"/>
        <w:numPr>
          <w:ilvl w:val="0"/>
          <w:numId w:val="30"/>
        </w:numPr>
        <w:spacing w:after="100" w:afterAutospacing="1"/>
        <w:rPr>
          <w:sz w:val="24"/>
          <w:szCs w:val="24"/>
        </w:rPr>
      </w:pPr>
      <w:r>
        <w:rPr>
          <w:sz w:val="24"/>
        </w:rPr>
        <w:t>see on asutatud osaleva jurisdiktsiooni seaduste alusel,</w:t>
      </w:r>
    </w:p>
    <w:p w:rsidR="00010DDB" w:rsidRPr="00E74148" w:rsidRDefault="00010DDB" w:rsidP="005C33A2">
      <w:pPr>
        <w:pStyle w:val="Loendinumber"/>
        <w:widowControl w:val="0"/>
        <w:numPr>
          <w:ilvl w:val="0"/>
          <w:numId w:val="30"/>
        </w:numPr>
        <w:spacing w:after="100" w:afterAutospacing="1"/>
        <w:rPr>
          <w:sz w:val="24"/>
          <w:szCs w:val="24"/>
        </w:rPr>
      </w:pPr>
      <w:r>
        <w:rPr>
          <w:sz w:val="24"/>
        </w:rPr>
        <w:t>selle juhtimiskoht (sealhulgas tegelik juhtimiskoht) on osalevas jurisdiktsioonis, või</w:t>
      </w:r>
    </w:p>
    <w:p w:rsidR="00010DDB" w:rsidRPr="00E74148" w:rsidRDefault="00010DDB" w:rsidP="005C33A2">
      <w:pPr>
        <w:pStyle w:val="Loendinumber"/>
        <w:widowControl w:val="0"/>
        <w:numPr>
          <w:ilvl w:val="0"/>
          <w:numId w:val="30"/>
        </w:numPr>
        <w:spacing w:after="100" w:afterAutospacing="1"/>
        <w:rPr>
          <w:sz w:val="24"/>
          <w:szCs w:val="24"/>
        </w:rPr>
      </w:pPr>
      <w:r>
        <w:rPr>
          <w:sz w:val="24"/>
        </w:rPr>
        <w:t>see on osalevas jurisdiktsioonis allutatud finantsjärelevalvele.</w:t>
      </w:r>
    </w:p>
    <w:p w:rsidR="00010DDB" w:rsidRPr="00E74148" w:rsidRDefault="00010DDB" w:rsidP="00E74148">
      <w:pPr>
        <w:pStyle w:val="Kehatekst"/>
        <w:widowControl w:val="0"/>
        <w:spacing w:after="100" w:afterAutospacing="1"/>
        <w:rPr>
          <w:sz w:val="24"/>
          <w:szCs w:val="24"/>
        </w:rPr>
      </w:pPr>
      <w:r>
        <w:rPr>
          <w:sz w:val="24"/>
        </w:rPr>
        <w:t>Selles kontekstis tähendab osalev jurisdiktsioon jurisdiktsiooni, mis rakendab ühtse aruandluse standardit.</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finantsasutus (mis ei ole usaldusfond) on kahe või enama osaleva jurisdiktsiooni resident, kehtivad sellisele finantsasutusele selle osaleva jurisdiktsiooni, kus ta finantskontot (finantskontosid) haldab, aruandluse ja hoolsusmeetmetega seotud kohustused.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Filiaal on sellise finantsasutuse üksus, talitus või kontor, mida käsitatakse jurisdiktsiooni regulatiivkorra alusel filiaalina või mida käsitatakse jurisdiktsiooni seaduste alusel finantsasutuse muudest kontoritest, üksustest või filiaalidest eraldiseisvana. Filiaal hõlmab finantsasutuse üksust, talitust või kontorit, mis asub jurisdiktsioonis, mille resident finantsasutus on, ja finantsasutuse üksust, talitust või kontorit, mis asub jurisdiktsioonis, kus finantsasutus on loodud. Finantsasutuse kõiki üksusi, talitusi või kontoreid, mis asuvad ühes jurisdiktsioonis, käsitatakse ühe filiaalina.</w:t>
      </w:r>
    </w:p>
    <w:p w:rsidR="00010DDB" w:rsidRPr="00E74148" w:rsidRDefault="00010DDB" w:rsidP="00E74148">
      <w:pPr>
        <w:pStyle w:val="Pealkiri4"/>
        <w:keepNext w:val="0"/>
        <w:widowControl w:val="0"/>
        <w:spacing w:after="100" w:afterAutospacing="1"/>
        <w:rPr>
          <w:sz w:val="24"/>
          <w:szCs w:val="24"/>
        </w:rPr>
      </w:pPr>
      <w:r>
        <w:rPr>
          <w:sz w:val="24"/>
        </w:rPr>
        <w:t>Lõike A punktid 3 kuni 8 – finantsasutus</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 3 kohaselt tähendab finantsasutus hoidmisasutust, hoiustamisasutust, investeerimisettevõtet või kindlaksmääratud kindlustusandjat.</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Asjaolu, kas ettevõte allub osaleva jurisdiktsiooni finantsseadustele ja -eeskirjadele või kas ta allub finantsasutuste üle järelevalvet tegevate asutuste järelevalvele ja kontrollile, on oluline, kuid mitte ilmtingimata määrava tähtsusega otsustamisel, kas ettevõte kvalifitseerub lõike A punkti 3 alusel finantsasutusena.</w:t>
      </w:r>
    </w:p>
    <w:p w:rsidR="00010DDB" w:rsidRPr="00E74148" w:rsidRDefault="00010DDB" w:rsidP="00E74148">
      <w:pPr>
        <w:pStyle w:val="Pealkiri5"/>
        <w:widowControl w:val="0"/>
        <w:spacing w:after="100" w:afterAutospacing="1"/>
        <w:rPr>
          <w:sz w:val="24"/>
          <w:szCs w:val="24"/>
        </w:rPr>
      </w:pPr>
      <w:r>
        <w:rPr>
          <w:sz w:val="24"/>
        </w:rPr>
        <w:t>Hoidmisasutus</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Lõike A punkti 4 kohaselt tähendab hoidmisasutus ettevõtet, mille äritegevuse märkimisväärse osa moodustab teiste isikute finantsvarade hoidmine.</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Selles punktis nähakse ka ette märkimisväärse osa test. Ettevõte hoiab finantsvarasid teiste arvel oma äritegevuse märkimisväärse osana, kui ettevõtte brutotulu, mis on saadud finantsvarade hoidmisest ja sellega seotud finantsteenustest, on võrdne või ületab 20 protsenti ettevõtte brutotulust kahest järgmisest perioodist lühema jooksul:</w:t>
      </w:r>
    </w:p>
    <w:p w:rsidR="00010DDB" w:rsidRPr="00E74148" w:rsidRDefault="00010DDB" w:rsidP="00E74148">
      <w:pPr>
        <w:pStyle w:val="Loenditpp"/>
        <w:widowControl w:val="0"/>
        <w:spacing w:after="100" w:afterAutospacing="1"/>
        <w:rPr>
          <w:sz w:val="24"/>
          <w:szCs w:val="24"/>
        </w:rPr>
      </w:pPr>
      <w:r>
        <w:rPr>
          <w:sz w:val="24"/>
        </w:rPr>
        <w:t>kolmeaastane periood, mis lõpeb hinnangu andmise aastale eelneva aasta 31. detsembril (või kalendriaastast erineva aruandeperioodi viimasel päeval); või</w:t>
      </w:r>
    </w:p>
    <w:p w:rsidR="00010DDB" w:rsidRPr="00E74148" w:rsidRDefault="00010DDB" w:rsidP="00E74148">
      <w:pPr>
        <w:pStyle w:val="Loenditpp"/>
        <w:widowControl w:val="0"/>
        <w:spacing w:after="100" w:afterAutospacing="1"/>
        <w:rPr>
          <w:sz w:val="24"/>
          <w:szCs w:val="24"/>
        </w:rPr>
      </w:pPr>
      <w:r>
        <w:rPr>
          <w:sz w:val="24"/>
        </w:rPr>
        <w:t>ettevõtte eksisteerimise periood.</w:t>
      </w:r>
    </w:p>
    <w:p w:rsidR="00010DDB" w:rsidRPr="00E74148" w:rsidRDefault="00010DDB" w:rsidP="00E74148">
      <w:pPr>
        <w:pStyle w:val="Kehatekst"/>
        <w:widowControl w:val="0"/>
        <w:spacing w:after="100" w:afterAutospacing="1"/>
        <w:rPr>
          <w:sz w:val="24"/>
          <w:szCs w:val="24"/>
        </w:rPr>
      </w:pPr>
      <w:r>
        <w:rPr>
          <w:sz w:val="24"/>
        </w:rPr>
        <w:t>Tulu, mis on saadud finantsvarade hoidmisest ja sellega seotud finantsteenustest, tähendab hoidmis-, kontohaldus- ja ülekandetasusid; hoitavate finantsvaradega seotud väärtpaberitehingute tegemisest ja hinna määramisest saadud vahendus- ja muid tasusid; klientidele antud krediidist saadud tulu seoses hoitavate (või krediidi andmisega hangitud) finantsvaradega; hoitavate finantsvarade müügi- ja ostuhinna vahest saadud tulu; ettevõtte hoitavate (või potentsiaalselt hoitavate) finantsvaradega seotud rahandusalase nõustamise tasusid; ning kliiringu ja tasaarvestusteenuste tasusid.</w:t>
      </w:r>
    </w:p>
    <w:p w:rsidR="00010DDB" w:rsidRPr="00E74148" w:rsidRDefault="00F15FDA" w:rsidP="00324DEF">
      <w:pPr>
        <w:pStyle w:val="Num-DocParagraph"/>
        <w:widowControl w:val="0"/>
        <w:numPr>
          <w:ilvl w:val="0"/>
          <w:numId w:val="75"/>
        </w:numPr>
        <w:tabs>
          <w:tab w:val="clear" w:pos="850"/>
          <w:tab w:val="left" w:pos="567"/>
        </w:tabs>
        <w:spacing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Ettevõtteid, mis hoiavad teiste isikute finantsvarasid, näiteks hoidmispangad, vahendajad ja väärtpaberite keskhoidlad, käsitatakse üldjuhul hoidmisasutustena. Ettevõtteid, mis ei hoia teiste isikute finantsvarasid, näiteks kindlustusmaaklereid, ei käsitata hoidmisasutustena.</w:t>
      </w:r>
    </w:p>
    <w:p w:rsidR="00D91E26" w:rsidRPr="00E74148" w:rsidRDefault="00010DDB" w:rsidP="00D91E26">
      <w:pPr>
        <w:pStyle w:val="Pealkiri5"/>
        <w:widowControl w:val="0"/>
        <w:spacing w:after="100" w:afterAutospacing="1"/>
        <w:rPr>
          <w:sz w:val="24"/>
          <w:szCs w:val="24"/>
        </w:rPr>
      </w:pPr>
      <w:r>
        <w:rPr>
          <w:sz w:val="24"/>
        </w:rPr>
        <w:t>Hoiustamisasutus</w:t>
      </w:r>
      <w:r w:rsidR="00F15FDA" w:rsidRPr="00E74148">
        <w:rPr>
          <w:sz w:val="24"/>
          <w:szCs w:val="24"/>
        </w:rPr>
        <w:fldChar w:fldCharType="begin"/>
      </w:r>
      <w:r>
        <w:rPr>
          <w:sz w:val="24"/>
          <w:szCs w:val="24"/>
        </w:rPr>
        <w:instrText>MACROBUTTON NUMBERING</w:instrText>
      </w:r>
      <w:r w:rsidR="00F15FDA" w:rsidRPr="00E74148">
        <w:rPr>
          <w:sz w:val="24"/>
          <w:szCs w:val="24"/>
        </w:rPr>
        <w:fldChar w:fldCharType="end"/>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D91E26" w:rsidRPr="00D91E26">
        <w:rPr>
          <w:sz w:val="24"/>
          <w:szCs w:val="24"/>
        </w:rPr>
        <w:instrText>MACROBUTTON NUMBERING</w:instrText>
      </w:r>
      <w:r w:rsidRPr="00D91E26">
        <w:rPr>
          <w:sz w:val="24"/>
          <w:szCs w:val="24"/>
        </w:rPr>
        <w:fldChar w:fldCharType="end"/>
      </w:r>
      <w:r w:rsidR="00010DDB" w:rsidRPr="00D91E26">
        <w:rPr>
          <w:sz w:val="24"/>
        </w:rPr>
        <w:t>Lõike A punkti 5 kohaselt tähendab hoiustamisasutus ettevõtet, mis kaasab hoiuseid tavapärase pangandus- või muu sarnase äritegevuse raames.</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Loetakse, et ettevõte tegeleb pangandus- või muu sarnase äritegevusega, kui ta kaasab oma tavapärase tegevuse raames hoiuseid või muid sarnaseid varade investeeringuid ja tegeleb korrapäraselt ühe või mitme alljärgneva tegevusega:</w:t>
      </w:r>
    </w:p>
    <w:p w:rsidR="00010DDB" w:rsidRPr="00E74148" w:rsidRDefault="00010DDB" w:rsidP="005C33A2">
      <w:pPr>
        <w:pStyle w:val="Loendinumber"/>
        <w:widowControl w:val="0"/>
        <w:numPr>
          <w:ilvl w:val="0"/>
          <w:numId w:val="31"/>
        </w:numPr>
        <w:spacing w:after="100" w:afterAutospacing="1"/>
        <w:rPr>
          <w:sz w:val="24"/>
          <w:szCs w:val="24"/>
        </w:rPr>
      </w:pPr>
      <w:r>
        <w:rPr>
          <w:sz w:val="24"/>
        </w:rPr>
        <w:t>annab tarbimis- või hüpoteeklaenu või laenu tööstusettevõtetele või muid laene või annab muud krediiti;</w:t>
      </w:r>
    </w:p>
    <w:p w:rsidR="00010DDB" w:rsidRPr="00E74148" w:rsidRDefault="00010DDB" w:rsidP="005C33A2">
      <w:pPr>
        <w:pStyle w:val="Loendinumber"/>
        <w:widowControl w:val="0"/>
        <w:numPr>
          <w:ilvl w:val="0"/>
          <w:numId w:val="31"/>
        </w:numPr>
        <w:spacing w:after="100" w:afterAutospacing="1"/>
        <w:rPr>
          <w:sz w:val="24"/>
          <w:szCs w:val="24"/>
        </w:rPr>
      </w:pPr>
      <w:r>
        <w:rPr>
          <w:sz w:val="24"/>
        </w:rPr>
        <w:t>ostab, müüb, hindab maha või räägib läbi debitoorset võlga, ositi maksmise kohustust, veksleid, käskveksleid, tšekke, võlakirju, tratte või muid võlga tõendavaid dokumente;</w:t>
      </w:r>
    </w:p>
    <w:p w:rsidR="00010DDB" w:rsidRPr="00E74148" w:rsidRDefault="00010DDB" w:rsidP="005C33A2">
      <w:pPr>
        <w:pStyle w:val="Loendinumber"/>
        <w:widowControl w:val="0"/>
        <w:numPr>
          <w:ilvl w:val="0"/>
          <w:numId w:val="31"/>
        </w:numPr>
        <w:spacing w:after="100" w:afterAutospacing="1"/>
        <w:rPr>
          <w:sz w:val="24"/>
          <w:szCs w:val="24"/>
        </w:rPr>
      </w:pPr>
      <w:r>
        <w:rPr>
          <w:sz w:val="24"/>
        </w:rPr>
        <w:t>väljastab krediitkirju ja räägib läbi nende alusel vormistatud käskveksleid;</w:t>
      </w:r>
    </w:p>
    <w:p w:rsidR="00010DDB" w:rsidRPr="00E74148" w:rsidRDefault="00010DDB" w:rsidP="005C33A2">
      <w:pPr>
        <w:pStyle w:val="Loendinumber"/>
        <w:widowControl w:val="0"/>
        <w:numPr>
          <w:ilvl w:val="0"/>
          <w:numId w:val="31"/>
        </w:numPr>
        <w:spacing w:after="100" w:afterAutospacing="1"/>
        <w:rPr>
          <w:sz w:val="24"/>
          <w:szCs w:val="24"/>
        </w:rPr>
      </w:pPr>
      <w:r>
        <w:rPr>
          <w:sz w:val="24"/>
        </w:rPr>
        <w:t>osutab usaldusisiku või esindaja teenuseid;</w:t>
      </w:r>
    </w:p>
    <w:p w:rsidR="00010DDB" w:rsidRPr="00E74148" w:rsidRDefault="00010DDB" w:rsidP="005C33A2">
      <w:pPr>
        <w:pStyle w:val="Loendinumber"/>
        <w:widowControl w:val="0"/>
        <w:numPr>
          <w:ilvl w:val="0"/>
          <w:numId w:val="31"/>
        </w:numPr>
        <w:spacing w:after="100" w:afterAutospacing="1"/>
        <w:rPr>
          <w:sz w:val="24"/>
          <w:szCs w:val="24"/>
        </w:rPr>
      </w:pPr>
      <w:r>
        <w:rPr>
          <w:sz w:val="24"/>
        </w:rPr>
        <w:t>rahastab valuutatehinguid; või</w:t>
      </w:r>
    </w:p>
    <w:p w:rsidR="00010DDB" w:rsidRPr="00E74148" w:rsidRDefault="00010DDB" w:rsidP="005C33A2">
      <w:pPr>
        <w:pStyle w:val="Loendinumber"/>
        <w:widowControl w:val="0"/>
        <w:numPr>
          <w:ilvl w:val="0"/>
          <w:numId w:val="31"/>
        </w:numPr>
        <w:spacing w:after="100" w:afterAutospacing="1"/>
        <w:rPr>
          <w:sz w:val="24"/>
          <w:szCs w:val="24"/>
        </w:rPr>
      </w:pPr>
      <w:r>
        <w:rPr>
          <w:sz w:val="24"/>
        </w:rPr>
        <w:t>sõlmib, ostab või võõrandab kapitalirendilepinguid või renditud varasid.</w:t>
      </w:r>
    </w:p>
    <w:p w:rsidR="00010DDB" w:rsidRPr="00E74148" w:rsidRDefault="00010DDB" w:rsidP="00E74148">
      <w:pPr>
        <w:pStyle w:val="Kehatekst"/>
        <w:widowControl w:val="0"/>
        <w:spacing w:after="100" w:afterAutospacing="1"/>
        <w:rPr>
          <w:sz w:val="24"/>
          <w:szCs w:val="24"/>
        </w:rPr>
      </w:pPr>
      <w:r>
        <w:rPr>
          <w:sz w:val="24"/>
        </w:rPr>
        <w:t>Ei loeta, et ettevõte tegeleb pangandus- või muu sarnase äritegevusega, kui ettevõte võtab isikutelt vastu hoiuseid üksnes ettevõtte ja ettevõttes hoiust omava isiku vahelise vara müügi- või rendi- või muu sarnase rahastamislepingu tagatiseks.</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Pr="00D91E26">
        <w:rPr>
          <w:sz w:val="24"/>
          <w:szCs w:val="24"/>
        </w:rPr>
        <w:fldChar w:fldCharType="begin"/>
      </w:r>
      <w:r w:rsidR="00D91E26" w:rsidRPr="00D91E26">
        <w:rPr>
          <w:sz w:val="24"/>
          <w:szCs w:val="24"/>
        </w:rPr>
        <w:instrText>MACROBUTTON NUMBERING</w:instrText>
      </w:r>
      <w:r w:rsidRPr="00D91E26">
        <w:rPr>
          <w:sz w:val="24"/>
          <w:szCs w:val="24"/>
        </w:rPr>
        <w:fldChar w:fldCharType="end"/>
      </w:r>
      <w:r w:rsidR="00010DDB" w:rsidRPr="00D91E26">
        <w:rPr>
          <w:sz w:val="24"/>
        </w:rPr>
        <w:t xml:space="preserve">Hoiustamisasutusteks loetakse üldjuhul hoiupankasid, kommertspankasid, hoiu- ja laenuühinguid ning krediidikassasid. Kuid see, kas ettevõte tegeleb pangandus- või muu </w:t>
      </w:r>
      <w:r w:rsidR="00010DDB" w:rsidRPr="00D91E26">
        <w:rPr>
          <w:sz w:val="24"/>
        </w:rPr>
        <w:lastRenderedPageBreak/>
        <w:t>sarnase äritegevusega, määratakse kindlaks ettevõtte tegeliku tegevuse alusel.</w:t>
      </w:r>
    </w:p>
    <w:p w:rsidR="00D91E26" w:rsidRPr="00E74148" w:rsidRDefault="00010DDB" w:rsidP="00D91E26">
      <w:pPr>
        <w:pStyle w:val="Pealkiri5"/>
        <w:widowControl w:val="0"/>
        <w:spacing w:after="100" w:afterAutospacing="1"/>
        <w:rPr>
          <w:sz w:val="24"/>
          <w:szCs w:val="24"/>
        </w:rPr>
      </w:pPr>
      <w:r>
        <w:rPr>
          <w:sz w:val="24"/>
        </w:rPr>
        <w:t>Investeerimisettevõte</w:t>
      </w:r>
      <w:r w:rsidR="00F15FDA" w:rsidRPr="00E74148">
        <w:rPr>
          <w:sz w:val="24"/>
          <w:szCs w:val="24"/>
        </w:rPr>
        <w:fldChar w:fldCharType="begin"/>
      </w:r>
      <w:r>
        <w:rPr>
          <w:sz w:val="24"/>
          <w:szCs w:val="24"/>
        </w:rPr>
        <w:instrText>MACROBUTTON NUMBERING</w:instrText>
      </w:r>
      <w:r w:rsidR="00F15FDA" w:rsidRPr="00E74148">
        <w:rPr>
          <w:sz w:val="24"/>
          <w:szCs w:val="24"/>
        </w:rPr>
        <w:fldChar w:fldCharType="end"/>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D91E26" w:rsidRPr="00D91E26">
        <w:rPr>
          <w:sz w:val="24"/>
          <w:szCs w:val="24"/>
        </w:rPr>
        <w:instrText>MACROBUTTON NUMBERING</w:instrText>
      </w:r>
      <w:r w:rsidRPr="00D91E26">
        <w:rPr>
          <w:sz w:val="24"/>
          <w:szCs w:val="24"/>
        </w:rPr>
        <w:fldChar w:fldCharType="end"/>
      </w:r>
      <w:r w:rsidRPr="00D91E26">
        <w:rPr>
          <w:sz w:val="24"/>
          <w:szCs w:val="24"/>
        </w:rPr>
        <w:fldChar w:fldCharType="begin"/>
      </w:r>
      <w:r w:rsidR="00D91E26" w:rsidRPr="00D91E26">
        <w:rPr>
          <w:sz w:val="24"/>
          <w:szCs w:val="24"/>
        </w:rPr>
        <w:instrText>MACROBUTTON NUMBERING</w:instrText>
      </w:r>
      <w:r w:rsidRPr="00D91E26">
        <w:rPr>
          <w:sz w:val="24"/>
          <w:szCs w:val="24"/>
        </w:rPr>
        <w:fldChar w:fldCharType="end"/>
      </w:r>
      <w:r w:rsidR="00010DDB" w:rsidRPr="00D91E26">
        <w:rPr>
          <w:sz w:val="24"/>
        </w:rPr>
        <w:t>Investeerimisettevõte hõlmab kahte liiki ettevõtteid: ettevõtted, mille peamine äritegevus on investeerimistegevus teiste isikute nimel, ja ettevõtted, mida haldavad sellised ettevõtted või muud finantsasutused.</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Lõike A punkti 6 alapunkti a kohaselt tähendab esimest liiki investeerimisettevõte ettevõtet, mille peamine äritegevus on üks või mitu alljärgnevatest tegevustest kliendi eest või kliendi nimel:</w:t>
      </w:r>
    </w:p>
    <w:p w:rsidR="00010DDB" w:rsidRPr="00E74148" w:rsidRDefault="00010DDB" w:rsidP="005C33A2">
      <w:pPr>
        <w:pStyle w:val="Loendinumber"/>
        <w:widowControl w:val="0"/>
        <w:numPr>
          <w:ilvl w:val="0"/>
          <w:numId w:val="32"/>
        </w:numPr>
        <w:spacing w:after="100" w:afterAutospacing="1"/>
        <w:rPr>
          <w:sz w:val="24"/>
          <w:szCs w:val="24"/>
        </w:rPr>
      </w:pPr>
      <w:r>
        <w:rPr>
          <w:sz w:val="24"/>
        </w:rPr>
        <w:t>kauplemine rahaturu instrumentidega (sealhulgas tšekkide, vekslite, hoiusetunnistuste, tuletisväärtpaberitega); välisvaluutaga; valuuta, intressimäärade ja indeksitega seotud instrumentidega; võõrandatavate väärtpaberitega; või kaubafutuuridega;</w:t>
      </w:r>
    </w:p>
    <w:p w:rsidR="00010DDB" w:rsidRPr="00E74148" w:rsidRDefault="00010DDB" w:rsidP="005C33A2">
      <w:pPr>
        <w:pStyle w:val="Loendinumber"/>
        <w:widowControl w:val="0"/>
        <w:numPr>
          <w:ilvl w:val="0"/>
          <w:numId w:val="32"/>
        </w:numPr>
        <w:spacing w:after="100" w:afterAutospacing="1"/>
        <w:rPr>
          <w:sz w:val="24"/>
          <w:szCs w:val="24"/>
        </w:rPr>
      </w:pPr>
      <w:r>
        <w:rPr>
          <w:sz w:val="24"/>
        </w:rPr>
        <w:t>individuaalne ja kollektiivne väärtpaberiportfelli valitsemine; või</w:t>
      </w:r>
    </w:p>
    <w:p w:rsidR="00010DDB" w:rsidRPr="00E74148" w:rsidRDefault="00010DDB" w:rsidP="005C33A2">
      <w:pPr>
        <w:pStyle w:val="Loendinumber"/>
        <w:widowControl w:val="0"/>
        <w:numPr>
          <w:ilvl w:val="0"/>
          <w:numId w:val="32"/>
        </w:numPr>
        <w:spacing w:after="100" w:afterAutospacing="1"/>
        <w:rPr>
          <w:sz w:val="24"/>
          <w:szCs w:val="24"/>
        </w:rPr>
      </w:pPr>
      <w:r>
        <w:rPr>
          <w:sz w:val="24"/>
        </w:rPr>
        <w:t>finantsvarade või raha muul viisil investeerimine, haldamine või valitsemine teiste isikute eest.</w:t>
      </w:r>
    </w:p>
    <w:p w:rsidR="00010DDB" w:rsidRPr="00E74148" w:rsidRDefault="00010DDB" w:rsidP="00E74148">
      <w:pPr>
        <w:pStyle w:val="Kehatekst"/>
        <w:widowControl w:val="0"/>
        <w:spacing w:after="100" w:afterAutospacing="1"/>
        <w:rPr>
          <w:sz w:val="24"/>
          <w:szCs w:val="24"/>
        </w:rPr>
      </w:pPr>
      <w:r>
        <w:rPr>
          <w:sz w:val="24"/>
        </w:rPr>
        <w:t>Selline tegevus ei hõlma klientidele mittesiduvate investeerimisnõuannete andmist.</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Lõike A punkti 6 alapunkti b kohaselt tähendab teist liiki investeerimisettevõte ettevõtet, mille brutotulu on peamiselt saadud finantsvarade investeerimisest, reinvesteerimisest või nendega kauplemisest, kui seda ettevõtet haldab teine ettevõte, mis on kas hoiustamisasutus, hoidmisasutus, kindlaksmääratud kindlustusandja või lõike A punkti 6 alapunktis a kirjeldatud investeerimisettevõte. Ettevõtet haldab teine ettevõte, kui haldav ettevõte tegeleb kas otse või teenusepakkuja kaudu lõike A punkti 6 alapunktis a kirjeldatud tegevustega hallatava ettevõtte nimel. Kuid ettevõte ei halda teist ettevõtet, kui tal puudub õigus hallata ettevõtte varasid (täielikult või osaliselt) oma äranägemise järgi. Kui ettevõtet haldavad nii finantsasutused, NFE-d kui ka füüsilised isikud, loetakse, et ettevõtet haldab teine ettevõte, mis on hoiustamisasutus, hoidmisasutus, kindlaksmääratud kindlustusandja või lõike A punkti 6 alapunktis a kirjeldatud investeerimisettevõte, kui mõni ettevõtet haldavatest ettevõtetest on selline ettevõte.</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Ettevõtet käsitatakse ettevõttena, mille peamine äritegevus on üks või mitu lõike A punkti 6 alapunktis a kirjeldatud tegevust, või ettevõttena, mille brutotulu on peamiselt saadud finantsvarade investeerimisest, reinvesteerimisest või nendega kauplemisest lõike A punkti 6 alapunkti b kohaselt, kui ettevõtte brutotulu, mis on saadud nendest tegevustest, on võrdne või ületab 50 protsenti ettevõtte brutotulust kahest järgmisest perioodist lühema jooksul:</w:t>
      </w:r>
    </w:p>
    <w:p w:rsidR="00010DDB" w:rsidRPr="00E74148" w:rsidRDefault="00010DDB" w:rsidP="00E74148">
      <w:pPr>
        <w:pStyle w:val="Loenditpp"/>
        <w:widowControl w:val="0"/>
        <w:spacing w:after="100" w:afterAutospacing="1"/>
        <w:rPr>
          <w:sz w:val="24"/>
          <w:szCs w:val="24"/>
        </w:rPr>
      </w:pPr>
      <w:r>
        <w:rPr>
          <w:sz w:val="24"/>
        </w:rPr>
        <w:t xml:space="preserve">kolmeaastane periood, mis lõpeb hinnangu andmise aastale eelneva aasta 31. detsembril; või </w:t>
      </w:r>
    </w:p>
    <w:p w:rsidR="00010DDB" w:rsidRPr="00E74148" w:rsidRDefault="00010DDB" w:rsidP="00E74148">
      <w:pPr>
        <w:pStyle w:val="Loenditpp"/>
        <w:widowControl w:val="0"/>
        <w:spacing w:after="100" w:afterAutospacing="1"/>
        <w:rPr>
          <w:sz w:val="24"/>
          <w:szCs w:val="24"/>
        </w:rPr>
      </w:pPr>
      <w:r>
        <w:rPr>
          <w:sz w:val="24"/>
        </w:rPr>
        <w:t>ettevõtte eksisteerimise periood.</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Lõike A punktis 6 määratletud investeerimisettevõtte mõiste ei hõlma ettevõtet, mis on aktiivne NFE, kuna ta vastab mõnele lõike D punkti 9 alapunktide d kuni g kriteeriumile (näiteks valdus-NFE-d ja riigikassa keskused, mis on mittefinantsgrupi liikmed, idu-NFE-d ja NFE-d, mis likvideeritakse või mis tulenevad pankrotist).</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 xml:space="preserve">Üldjuhul loetakse ettevõtet investeerimisettevõtteks, kui ta tegutseb või reklaamib </w:t>
      </w:r>
      <w:r w:rsidR="00010DDB" w:rsidRPr="00D91E26">
        <w:rPr>
          <w:sz w:val="24"/>
        </w:rPr>
        <w:lastRenderedPageBreak/>
        <w:t>ennast kollektiivse investeerimisüksuse, avatud investeerimisfondi, börsil kaubeldava fondi, erakapitalifondi, riskifondi, riskikapitalifondi, finantsvõimendusega väljaostufondi või muu sarnase investeerimismehhanismina, mille asutamisel on peetud silmas finantsvarade investeerimise, reinvesteerimise või nendega kauplemise strateegiat. Ettevõte, mille peamine äritegevus on laenukohustuseta otsese kinnisvaraosaluse haldamine ja valitsemine teiste isikute nimel, näiteks teatud liiki kinnine kinnisvara investeerimisfond, ei ole investeerimisettevõte.</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Lõike A alapunktis 6 on sätestatud ka see, et investeerimisettevõtte mõistet tõlgendatakse kooskõlas finantsasutuse mõistega rahapesuvastase töökonna soovitustes.</w:t>
      </w:r>
      <w:r w:rsidR="00010DDB">
        <w:rPr>
          <w:rStyle w:val="Allmrkuseviide"/>
          <w:sz w:val="24"/>
        </w:rPr>
        <w:footnoteReference w:id="9"/>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Järgnevad näited illustreerivad lõike A punkti 6 kohaldamist.</w:t>
      </w:r>
    </w:p>
    <w:p w:rsidR="00010DDB" w:rsidRPr="00E74148" w:rsidRDefault="00010DDB" w:rsidP="00E74148">
      <w:pPr>
        <w:pStyle w:val="Loenditpp"/>
        <w:widowControl w:val="0"/>
        <w:spacing w:after="100" w:afterAutospacing="1"/>
        <w:rPr>
          <w:sz w:val="24"/>
          <w:szCs w:val="24"/>
        </w:rPr>
      </w:pPr>
      <w:r>
        <w:rPr>
          <w:sz w:val="24"/>
        </w:rPr>
        <w:t>Näide 1 (investeerimisnõustaja). Fondihaldur on investeerimisettevõte lõike A punkti 6 alapunkti a tähenduses. Oma muu äritegevuse hulgas asutab ja haldab fondihaldur erinevaid fonde, sealhulgas fondi A, mis investeerib peamiselt aktsiatesse. Fondihaldur palkab investeerimisnõustajaks ettevõtte, kes annab nõu ja haldab osa fondi A hallatavatest finantsvaradest oma äranägemise järgi. Investeerimisnõustaja sai viimasel kolmel aastal üle 50% oma brutotulust sarnaste teenuste osutamisest. Kuna investeerimisnõustaja peamine äritegevus on finantsvarade haldamine klientide nimel, on investeerimisnõustaja lõike A punkti 6 alapunkti a tähenduses investeerimisettevõte. Kuid üksnes finantskontosid haldav investeerimisettevõte vastutab selliste finantskontodega seotud aruandluse ja hoolsusmeetmetega seotud kohustuste täitmise eest (vt VIII osa kommentaaride punkte 57–65).</w:t>
      </w:r>
    </w:p>
    <w:p w:rsidR="00010DDB" w:rsidRPr="00E74148" w:rsidRDefault="00010DDB" w:rsidP="00E74148">
      <w:pPr>
        <w:pStyle w:val="Loenditpp"/>
        <w:widowControl w:val="0"/>
        <w:spacing w:after="100" w:afterAutospacing="1"/>
        <w:rPr>
          <w:sz w:val="24"/>
          <w:szCs w:val="24"/>
        </w:rPr>
      </w:pPr>
      <w:r>
        <w:rPr>
          <w:sz w:val="24"/>
        </w:rPr>
        <w:t>Näide 2 (finantsasutuse hallatav ettevõte). Asjaolud on samad nagu esimeses näites. Lisaks on fond A saanud igal aastal pärast asutamist üle 50% oma brutotulust finantsvarade investeerimisest. Sellest tulenevalt on fond A investeerimisettevõte lõike A punkti 6 alapunkti b tähenduses, kuna seda haldavad fondihaldur ja investeerimisnõustaja ning selle brutotulu on saadud peamiselt finantsvarade investeerimisest, reinvesteerimisest või nendega kauplemisest.</w:t>
      </w:r>
    </w:p>
    <w:p w:rsidR="00010DDB" w:rsidRPr="00E74148" w:rsidRDefault="00010DDB" w:rsidP="00E74148">
      <w:pPr>
        <w:pStyle w:val="Loenditpp"/>
        <w:widowControl w:val="0"/>
        <w:spacing w:after="100" w:afterAutospacing="1"/>
        <w:rPr>
          <w:sz w:val="24"/>
          <w:szCs w:val="24"/>
        </w:rPr>
      </w:pPr>
      <w:r>
        <w:rPr>
          <w:sz w:val="24"/>
        </w:rPr>
        <w:t>Näide 3 (fondi majandaja). Fondi majandaja, kes on jurisdiktsiooni B ettevõte, on investeerimisettevõte lõike A punkti 6 alapunkti a tähenduses. Fondi majandaja asutab ja registreerib jurisdiktsioonis A fondi A. Fondi majandajal on õigus aidata kaasa fondi A hallatavate finantsvarade ostule ja müügile kooskõlas fondi A investeerimisstrateegiaga. Fond A on saanud igal aastal pärast asutamist üle 50% oma brutotulust finantsvarade investeerimisest, reinvesteerimisest või nendega kauplemisest. Sellest tulenevalt on fond A investeerimisettevõte lõike A punkti 6 alapunkti b tähenduses.</w:t>
      </w:r>
    </w:p>
    <w:p w:rsidR="00010DDB" w:rsidRPr="00E74148" w:rsidRDefault="00010DDB" w:rsidP="00E74148">
      <w:pPr>
        <w:pStyle w:val="Loenditpp"/>
        <w:widowControl w:val="0"/>
        <w:spacing w:after="100" w:afterAutospacing="1"/>
        <w:rPr>
          <w:sz w:val="24"/>
          <w:szCs w:val="24"/>
        </w:rPr>
      </w:pPr>
      <w:r>
        <w:rPr>
          <w:sz w:val="24"/>
        </w:rPr>
        <w:t>Näide 4 (finantsasutuse hallatav kinnisvara investeerimisfond). Asjaolud on samad nagu kolmandas näites, aga fondi A varad koosnevad vaid laenukohustuseta otsesest kinnisvaraosalusest jurisdiktsioonis B ja väljaspool seda. Fond A ei ole lõike A punkti 6 alapunkti b tähenduses investeerimisettevõte, kuigi seda haldab fondi majandaja, kuna finantsvarade investeerimisest, reinvesteerimisest või nendega kauplemisest saab ta alla 50% brutotulust.</w:t>
      </w:r>
    </w:p>
    <w:p w:rsidR="00010DDB" w:rsidRPr="00E74148" w:rsidRDefault="00010DDB" w:rsidP="00E74148">
      <w:pPr>
        <w:pStyle w:val="Loenditpp"/>
        <w:widowControl w:val="0"/>
        <w:spacing w:after="100" w:afterAutospacing="1"/>
        <w:rPr>
          <w:sz w:val="24"/>
          <w:szCs w:val="24"/>
        </w:rPr>
      </w:pPr>
      <w:r>
        <w:rPr>
          <w:sz w:val="24"/>
        </w:rPr>
        <w:t xml:space="preserve">Näide 5 (füüsilise isiku hallatav usaldusfond). Füüsiline isik X asutab </w:t>
      </w:r>
      <w:r>
        <w:rPr>
          <w:sz w:val="24"/>
        </w:rPr>
        <w:lastRenderedPageBreak/>
        <w:t>usaldusfondi A, mis on tühistamatu usaldusfond X-i laste Y-i ja Z-i kasuks. X määrab hooldaja A, kes on füüsiline isik ja kes tegutseb usaldusfondi A hooldajana. Usaldusfondi A varad koosnevad üksnes finantsvaradest ja fondi sissetulek koosneb üksnes nendest finantsvaradest saadavast sissetulekust. Usaldusfondi asutamisdokumendi tingimuste kohaselt haldab ja valitseb usaldusfondi varasid hooldaja A. Hooldaja A ei palka teenusepakkujana ühtegi ettevõtet, kes tegeleks lõike A punkti 6 alapunktis a kirjeldatud tegevustega. Usaldusfond ei ole lõike A punkti 6 alapunkti b kohaselt investeerimisettevõte, kuna seda haldab ainuisikuliselt füüsilisest isikust hooldaja A.</w:t>
      </w:r>
    </w:p>
    <w:p w:rsidR="00010DDB" w:rsidRPr="00E74148" w:rsidRDefault="00010DDB" w:rsidP="00E74148">
      <w:pPr>
        <w:pStyle w:val="Loenditpp"/>
        <w:widowControl w:val="0"/>
        <w:spacing w:after="100" w:afterAutospacing="1"/>
        <w:rPr>
          <w:sz w:val="24"/>
          <w:szCs w:val="24"/>
        </w:rPr>
      </w:pPr>
      <w:r>
        <w:rPr>
          <w:sz w:val="24"/>
        </w:rPr>
        <w:t>Näide 6 (füüsilisest isikust maakler). Füüsilisest isikust maakleri B peamine äritegevus hõlmab klientide nõustamist, tal on õigus hallata klientide varasid oma äranägemise järgi ja ta kasutab klientide nimel tehingute tegemiseks ühe ettevõtte teenuseid. B osutab teenuseid äriühingu E investeerimisnõustaja ja haldajana. E on viimasel kolmel aastal saanud 50% või rohkem oma brutotulust finantsvarade investeerimisest, reinvesteerimisest või nendega kauplemisest. Kuna B on füüsiline isik, siis olenemata asjaolust, et ta tegeleb peamiselt teatud investeerimisega seotud tegevusega, ei ole B lõike A punkti 6 alapunkti a tähenduses investeerimisettevõte. Lisaks ei ole E lõike A punkti 6 alapunkti b kohaselt investeerimisettevõte, kuna E-d haldab füüsiline isik B.</w:t>
      </w:r>
    </w:p>
    <w:p w:rsidR="00D91E26" w:rsidRDefault="00D91E26" w:rsidP="00E74148">
      <w:pPr>
        <w:pStyle w:val="Pealkiri5"/>
        <w:widowControl w:val="0"/>
        <w:spacing w:after="100" w:afterAutospacing="1"/>
        <w:rPr>
          <w:sz w:val="24"/>
        </w:rPr>
      </w:pPr>
    </w:p>
    <w:p w:rsidR="00010DDB" w:rsidRPr="00E74148" w:rsidRDefault="00010DDB" w:rsidP="00E74148">
      <w:pPr>
        <w:pStyle w:val="Pealkiri5"/>
        <w:widowControl w:val="0"/>
        <w:spacing w:after="100" w:afterAutospacing="1"/>
        <w:rPr>
          <w:sz w:val="24"/>
          <w:szCs w:val="24"/>
        </w:rPr>
      </w:pPr>
      <w:r>
        <w:rPr>
          <w:sz w:val="24"/>
        </w:rPr>
        <w:t>Finantsvara</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Finantsvara mõistet kasutatakse hoidmisasutuse, investeerimisettevõtte, hoidmiskonto ja välistatud konto määratlustes. See mõiste ei viita igasugusele varale, vaid hõlmab mis tahes varasid, mida võidakse hoida finantsasutuse hallataval kontol, välja arvatud laenukohustuseta otsene kinnisvaraosalus.</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 xml:space="preserve">Selles kontekstis sätestatakse lõike A punktis 7, et finantsvara tähendab väärtpaberit (sealhulgas osalust äriühingus; osalust partneri või tulusaajana hajusa omanikkonnaga või börsil noteeritud partnerluses või trustis; vekslit, võlakirja, tagatiseta võlakohustust või muud võlga tõendavat dokumenti), osalust partnerina, kaupa, vahetuslepingut (näiteks intressimäära vahetuslepingud, valuutavahetuslepingud, valuuta baasvahetuslepingud, intressimäära ülem- ja alampiiride seadmise lepingud, kaupade vahetuslepingud, aktsiate vahetuslepingud, aktsiaindeksi vahetuslepingud ja muud sarnased lepingud), kindlustuslepingut või annuiteedilepingut või osalust (sh futuuride, </w:t>
      </w:r>
      <w:r w:rsidR="00010DDB" w:rsidRPr="00D91E26">
        <w:rPr>
          <w:i/>
          <w:sz w:val="24"/>
        </w:rPr>
        <w:t>forward</w:t>
      </w:r>
      <w:r w:rsidR="00010DDB" w:rsidRPr="00D91E26">
        <w:rPr>
          <w:sz w:val="24"/>
        </w:rPr>
        <w:t>-lepingute või optsioonide kaudu) väärtpaberis, partneris, kaubas, vahetustehingus, kindlustuslepingus või annuiteedilepingus. Kuid finantsvara ei hõlma laenukohustuseta otsest kinnisvaraosalust ega füüsilist kaupa, näiteks nisu.</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Finantsvaradeks loetakse üldjuhul võõrandatavaid võlainstrumente, millega kaubeldakse reguleeritaval turul või vabavahetusturul ning mida levitatakse ja hoitakse finantsasutuste kaudu, ja kinnisvara investeerimisfondi osakuid.</w:t>
      </w:r>
    </w:p>
    <w:p w:rsidR="00010DDB" w:rsidRPr="00E74148" w:rsidRDefault="00010DDB" w:rsidP="00E74148">
      <w:pPr>
        <w:pStyle w:val="Pealkiri5"/>
        <w:widowControl w:val="0"/>
        <w:spacing w:after="100" w:afterAutospacing="1"/>
        <w:rPr>
          <w:sz w:val="24"/>
          <w:szCs w:val="24"/>
        </w:rPr>
      </w:pPr>
      <w:r>
        <w:rPr>
          <w:sz w:val="24"/>
        </w:rPr>
        <w:t>Kindlaksmääratud kindlustusandja</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 xml:space="preserve">Lõike A punktis 8 sätestatakse, et kindlaksmääratud kindlustusandja tähendab ettevõtet, mis on kindlustusandja (või kindlustusandja valdusühing), mis sõlmib rahalise väärtusega kindlustuslepingu või annuiteedilepingu või mis on kohustatud tegema eelnimetatud </w:t>
      </w:r>
      <w:r w:rsidR="00010DDB" w:rsidRPr="00D91E26">
        <w:rPr>
          <w:sz w:val="24"/>
        </w:rPr>
        <w:lastRenderedPageBreak/>
        <w:t>lepingutega seotud väljamakseid.</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Kindlustusandja on ettevõte, (i) mida reguleeritakse kindlustusettevõttena selle jurisdiktsiooni, kus ettevõte tegutseb, seaduste, eeskirjade ja tava alusel; (ii) mille brutotulu (näiteks kindlustusmaksetest saadav brutotulu ja brutoinvesteerimistulu) kindlustusest, edasikindlustusest ja annuiteedilepingutest vahetult eelneval kalendriaastal ületab 50 protsenti selle aasta kogu brutotulust; või (iii) mille varade koondväärtus seoses kindlustuse, edasikindlustuse ja annuiteedilepingutega mis tahes ajal vahetult eelneval kalendriaastal ületab 50 protsenti koguvaradest mis tahes ajal sellel aastal.</w:t>
      </w:r>
    </w:p>
    <w:p w:rsidR="00D91E26"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Enamikku elukindlustust pakkuvatest kindlustusandjatest loetakse kindlaksmääratud kindlustusandjaks. Ettevõtted, mis ei sõlmi rahalise väärtusega kindlustuslepinguid või annuiteedilepinguid või mis ei ole kohustatud tegema eelnimetatud lepingutega seotud väljamakseid, näiteks enamik kahjukindlustust pakkuvatest kindlustusandjatest, enamik kindlustusandja valdusühingutest ja kindlustusmaaklerid, ei ole kindlaksmääratud kindlustusandjad.</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Kindlustusandja ei ole hoidmistegevuse tõttu hoidmisasutus, hoiustamisasutus ega investeerimisettevõte.</w:t>
      </w:r>
    </w:p>
    <w:p w:rsidR="00010DDB" w:rsidRPr="00E74148" w:rsidRDefault="00010DDB" w:rsidP="00E74148">
      <w:pPr>
        <w:pStyle w:val="Pealkiri3"/>
        <w:keepNext w:val="0"/>
        <w:widowControl w:val="0"/>
        <w:spacing w:after="100" w:afterAutospacing="1"/>
        <w:rPr>
          <w:sz w:val="24"/>
          <w:szCs w:val="24"/>
        </w:rPr>
      </w:pPr>
      <w:bookmarkStart w:id="208" w:name="_Toc420331853"/>
      <w:bookmarkStart w:id="209" w:name="_Toc420331922"/>
      <w:r>
        <w:rPr>
          <w:sz w:val="24"/>
        </w:rPr>
        <w:t>Lõige B – mittearuandekohustuslik finantsasutus</w:t>
      </w:r>
      <w:bookmarkEnd w:id="208"/>
      <w:bookmarkEnd w:id="209"/>
    </w:p>
    <w:p w:rsidR="00010DDB" w:rsidRPr="00E74148" w:rsidRDefault="00010DDB" w:rsidP="00E74148">
      <w:pPr>
        <w:pStyle w:val="Pealkiri4"/>
        <w:keepNext w:val="0"/>
        <w:widowControl w:val="0"/>
        <w:spacing w:after="100" w:afterAutospacing="1"/>
        <w:rPr>
          <w:sz w:val="24"/>
          <w:szCs w:val="24"/>
        </w:rPr>
      </w:pPr>
      <w:r>
        <w:rPr>
          <w:sz w:val="24"/>
        </w:rPr>
        <w:t>Lõike B punkt 1 – üldist</w:t>
      </w:r>
    </w:p>
    <w:p w:rsidR="00010DDB" w:rsidRPr="00D91E26"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D91E26">
        <w:rPr>
          <w:sz w:val="24"/>
          <w:szCs w:val="24"/>
        </w:rPr>
        <w:fldChar w:fldCharType="begin"/>
      </w:r>
      <w:r w:rsidR="00010DDB" w:rsidRPr="00D91E26">
        <w:rPr>
          <w:sz w:val="24"/>
          <w:szCs w:val="24"/>
        </w:rPr>
        <w:instrText>MACROBUTTON NUMBERING</w:instrText>
      </w:r>
      <w:r w:rsidRPr="00D91E26">
        <w:rPr>
          <w:sz w:val="24"/>
          <w:szCs w:val="24"/>
        </w:rPr>
        <w:fldChar w:fldCharType="end"/>
      </w:r>
      <w:r w:rsidR="00010DDB" w:rsidRPr="00D91E26">
        <w:rPr>
          <w:sz w:val="24"/>
        </w:rPr>
        <w:t>Lõike B punktis 1 nähakse ette mittearuandekohustusliku finantsasutuse eri kategooriad (s.t finantsasutused, mis ei pea teavet edastama). Mittearuandekohustuslik finantsasutus tähendab finantsasutust, mis on</w:t>
      </w:r>
    </w:p>
    <w:p w:rsidR="00010DDB" w:rsidRPr="00E74148" w:rsidRDefault="00010DDB" w:rsidP="005C33A2">
      <w:pPr>
        <w:pStyle w:val="Loendinumber"/>
        <w:widowControl w:val="0"/>
        <w:numPr>
          <w:ilvl w:val="0"/>
          <w:numId w:val="33"/>
        </w:numPr>
        <w:spacing w:after="100" w:afterAutospacing="1"/>
        <w:rPr>
          <w:sz w:val="24"/>
          <w:szCs w:val="24"/>
        </w:rPr>
      </w:pPr>
      <w:r>
        <w:rPr>
          <w:sz w:val="24"/>
        </w:rPr>
        <w:t>valitsuse hallatav ettevõte, rahvusvaheline organisatsioon või keskpank, välja arvatud osas, mis puudutab makset, mis tuleneb kohustusest, mis on seotud sellist liiki finantsäritegevusega, millega tegeleb kindlaksmääratud kindlustusandja, hoidmisasutus või hoiustamisasutus;</w:t>
      </w:r>
    </w:p>
    <w:p w:rsidR="00010DDB" w:rsidRPr="00E74148" w:rsidRDefault="00010DDB" w:rsidP="005C33A2">
      <w:pPr>
        <w:pStyle w:val="Loendinumber"/>
        <w:widowControl w:val="0"/>
        <w:numPr>
          <w:ilvl w:val="0"/>
          <w:numId w:val="33"/>
        </w:numPr>
        <w:spacing w:after="100" w:afterAutospacing="1"/>
        <w:rPr>
          <w:sz w:val="24"/>
          <w:szCs w:val="24"/>
        </w:rPr>
      </w:pPr>
      <w:r>
        <w:rPr>
          <w:sz w:val="24"/>
        </w:rPr>
        <w:t>suure liikmete arvuga pensionifond; väikese liikmete arvuga pensionifond; valitsuse hallatava ettevõtte, rahvusvahelise organisatsiooni või keskpanga pensionifond; või kvalifitseerunud krediitkaardi väljastaja;</w:t>
      </w:r>
    </w:p>
    <w:p w:rsidR="00010DDB" w:rsidRPr="00E74148" w:rsidRDefault="00010DDB" w:rsidP="005C33A2">
      <w:pPr>
        <w:pStyle w:val="Loendinumber"/>
        <w:widowControl w:val="0"/>
        <w:numPr>
          <w:ilvl w:val="0"/>
          <w:numId w:val="33"/>
        </w:numPr>
        <w:spacing w:after="100" w:afterAutospacing="1"/>
        <w:rPr>
          <w:sz w:val="24"/>
          <w:szCs w:val="24"/>
        </w:rPr>
      </w:pPr>
      <w:r>
        <w:rPr>
          <w:sz w:val="24"/>
        </w:rPr>
        <w:t>igasugune muu ettevõte, mille puhul ei ole tõenäoline, et seda kasutataks maksudest kõrvalehoidumiseks, millel on lõike B punkti 1 alapunktides a ja b kirjeldatud ettevõtetega sarnased tunnused ja mida riigisisese õiguse kohaselt käsitatakse mittearuandekohustusliku finantsasutusena tingimusel, et ettevõtte käsitamine mittearuandekohustusliku finantsasutusena ei lähe vastuollu ühtse aruandluse standardiga;</w:t>
      </w:r>
    </w:p>
    <w:p w:rsidR="00010DDB" w:rsidRPr="00E74148" w:rsidRDefault="00010DDB" w:rsidP="005C33A2">
      <w:pPr>
        <w:pStyle w:val="Loendinumber"/>
        <w:widowControl w:val="0"/>
        <w:numPr>
          <w:ilvl w:val="0"/>
          <w:numId w:val="33"/>
        </w:numPr>
        <w:spacing w:after="100" w:afterAutospacing="1"/>
        <w:rPr>
          <w:sz w:val="24"/>
          <w:szCs w:val="24"/>
        </w:rPr>
      </w:pPr>
      <w:r>
        <w:rPr>
          <w:sz w:val="24"/>
        </w:rPr>
        <w:t>kollektiivne investeerimisüksus; või</w:t>
      </w:r>
    </w:p>
    <w:p w:rsidR="00010DDB" w:rsidRPr="00E74148" w:rsidRDefault="00010DDB" w:rsidP="005C33A2">
      <w:pPr>
        <w:pStyle w:val="Loendinumber"/>
        <w:widowControl w:val="0"/>
        <w:numPr>
          <w:ilvl w:val="0"/>
          <w:numId w:val="33"/>
        </w:numPr>
        <w:spacing w:after="100" w:afterAutospacing="1"/>
        <w:rPr>
          <w:sz w:val="24"/>
          <w:szCs w:val="24"/>
        </w:rPr>
      </w:pPr>
      <w:r>
        <w:rPr>
          <w:sz w:val="24"/>
        </w:rPr>
        <w:t>trust niivõrd, kuivõrd trusti haldaja on aruandekohustuslik finantsasutus ning esitab aruande kogu I osa kohaselt avaldatava teabe kohta seoses trusti kõikide avaldatavate kontodega.</w:t>
      </w:r>
    </w:p>
    <w:p w:rsidR="00010DDB" w:rsidRPr="00E74148" w:rsidRDefault="00010DDB" w:rsidP="00E74148">
      <w:pPr>
        <w:pStyle w:val="Pealkiri4"/>
        <w:keepNext w:val="0"/>
        <w:widowControl w:val="0"/>
        <w:spacing w:after="100" w:afterAutospacing="1"/>
        <w:rPr>
          <w:sz w:val="24"/>
          <w:szCs w:val="24"/>
        </w:rPr>
      </w:pPr>
      <w:r>
        <w:rPr>
          <w:sz w:val="24"/>
        </w:rPr>
        <w:t>Lõike B punktid 2 kuni 4 – valitsuse hallatav ettevõte, rahvusvaheline organisatsioon või keskpank</w:t>
      </w:r>
    </w:p>
    <w:p w:rsidR="00A477F7" w:rsidRPr="002801A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801A8">
        <w:rPr>
          <w:sz w:val="24"/>
          <w:szCs w:val="24"/>
        </w:rPr>
        <w:fldChar w:fldCharType="begin"/>
      </w:r>
      <w:r w:rsidR="00010DDB" w:rsidRPr="002801A8">
        <w:rPr>
          <w:sz w:val="24"/>
          <w:szCs w:val="24"/>
        </w:rPr>
        <w:instrText>MACROBUTTON NUMBERING</w:instrText>
      </w:r>
      <w:r w:rsidRPr="002801A8">
        <w:rPr>
          <w:sz w:val="24"/>
          <w:szCs w:val="24"/>
        </w:rPr>
        <w:fldChar w:fldCharType="end"/>
      </w:r>
      <w:r w:rsidR="00010DDB" w:rsidRPr="002801A8">
        <w:rPr>
          <w:sz w:val="24"/>
        </w:rPr>
        <w:t xml:space="preserve">Finantsasutus, mis on valitsuse hallatav ettevõte, rahvusvaheline organisatsioon või keskpank, on lõike B punkti 1 alapunkti a kohaselt mittearuandekohustuslik finantsasutus, </w:t>
      </w:r>
      <w:r w:rsidR="00010DDB" w:rsidRPr="002801A8">
        <w:rPr>
          <w:sz w:val="24"/>
        </w:rPr>
        <w:lastRenderedPageBreak/>
        <w:t>välja arvatud osas, mis puudutab makset, mis tuleneb kohustusest, mis on seotud sellist liiki finantsäritegevusega, millega tegeleb kindlaksmääratud kindlustusandja, hoidmisasutus või hoiustamisasutus. Seega näiteks keskpank, mis on hõivatud finantsäritegevusega, näiteks vahendaja, kes tegutseb isikute nimel muul viisil kui keskpangana, ei ole lõike B punkti 1 alapunkti a alusel mittearuandekohustuslik finantsasutus seoses saadud maksetega, mis on seotud kontoga, mida hallatakse seoses sellise tegevusega.</w:t>
      </w:r>
    </w:p>
    <w:p w:rsidR="00010DDB" w:rsidRPr="00E74148" w:rsidRDefault="00010DDB" w:rsidP="00E74148">
      <w:pPr>
        <w:pStyle w:val="Pealkiri5"/>
        <w:widowControl w:val="0"/>
        <w:spacing w:after="100" w:afterAutospacing="1"/>
        <w:rPr>
          <w:sz w:val="24"/>
          <w:szCs w:val="24"/>
        </w:rPr>
      </w:pPr>
      <w:r>
        <w:rPr>
          <w:sz w:val="24"/>
        </w:rPr>
        <w:t>Valitsuse hallatav ettevõte</w:t>
      </w:r>
    </w:p>
    <w:p w:rsidR="002801A8" w:rsidRPr="002801A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801A8">
        <w:rPr>
          <w:sz w:val="24"/>
          <w:szCs w:val="24"/>
        </w:rPr>
        <w:fldChar w:fldCharType="begin"/>
      </w:r>
      <w:r w:rsidR="00010DDB" w:rsidRPr="002801A8">
        <w:rPr>
          <w:sz w:val="24"/>
          <w:szCs w:val="24"/>
        </w:rPr>
        <w:instrText>MACROBUTTON NUMBERING</w:instrText>
      </w:r>
      <w:r w:rsidRPr="002801A8">
        <w:rPr>
          <w:sz w:val="24"/>
          <w:szCs w:val="24"/>
        </w:rPr>
        <w:fldChar w:fldCharType="end"/>
      </w:r>
      <w:r w:rsidR="00010DDB" w:rsidRPr="002801A8">
        <w:rPr>
          <w:sz w:val="24"/>
        </w:rPr>
        <w:t>Lõike B punkti 2 kohaselt tähendab valitsuse hallatav ettevõte jurisdiktsiooni valitsust, jurisdiktsiooni poliitilist allüksust (mis kahtluse kõrvaldamiseks hõlmab osariiki, provintsi, maakonda, kohalikku omavalitsust või kohalikku asutust) või täielikult jurisdiktsioonile või ühele või mitmele eelnimetatutest kuuluvat asutust või ametit. See hõlmab ka jurisdiktsiooni lahutamatuid osasid, kontrollitavaid ettevõtteid ja poliitilisi allüksusi. Lahutamatu osa ja kontrollitav ettevõte on määratletud lõike B punkti 2 alapunktides a ja b, milles nõutakse, et mitte ükski osa puhastulust ei tohi teenida mis tahes eraisiku huve. Lõike B punkti 2 alapunktis c selgitatakse, et võib lugeda, et tulu teenib eraisiku huve, kui eraisik saab sellisest tulust kasu valitsuse hallatava ettevõtte kaudu isikliku investeeringu kujul, või eraisikud ei kasuta sellist tulu sihtotstarbeliselt, rakendades mõjuvõimu või kontrolli vahendite abil, mille jurisdiktsioon on otseselt või kaudselt heaks kiitnud.</w:t>
      </w:r>
    </w:p>
    <w:p w:rsidR="00010DDB" w:rsidRPr="002801A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801A8">
        <w:rPr>
          <w:sz w:val="24"/>
          <w:szCs w:val="24"/>
        </w:rPr>
        <w:fldChar w:fldCharType="begin"/>
      </w:r>
      <w:r w:rsidR="00010DDB" w:rsidRPr="002801A8">
        <w:rPr>
          <w:sz w:val="24"/>
          <w:szCs w:val="24"/>
        </w:rPr>
        <w:instrText>MACROBUTTON NUMBERING</w:instrText>
      </w:r>
      <w:r w:rsidRPr="002801A8">
        <w:rPr>
          <w:sz w:val="24"/>
          <w:szCs w:val="24"/>
        </w:rPr>
        <w:fldChar w:fldCharType="end"/>
      </w:r>
      <w:r w:rsidR="00010DDB" w:rsidRPr="002801A8">
        <w:rPr>
          <w:sz w:val="24"/>
        </w:rPr>
        <w:t>Rahvusvahelise kaubanduse ja arengu edendamiseks on paljud jurisdiktsioonid loonud ekspordi või arengu rahastamise programme või asutusi, mis võivad anda laenu otse või tagada kommertslaenuandja antud laenu. Neid asutusi käsitatakse üldjuhul valitsuse hallatavate ettevõtetena ja seega mittearuandekohustuslike finantsasutustena (vt punkti 31 eespool).</w:t>
      </w:r>
    </w:p>
    <w:p w:rsidR="00010DDB" w:rsidRPr="00E74148" w:rsidRDefault="00010DDB" w:rsidP="00E74148">
      <w:pPr>
        <w:pStyle w:val="Pealkiri5"/>
        <w:widowControl w:val="0"/>
        <w:spacing w:after="100" w:afterAutospacing="1"/>
        <w:rPr>
          <w:sz w:val="24"/>
          <w:szCs w:val="24"/>
        </w:rPr>
      </w:pPr>
      <w:r>
        <w:rPr>
          <w:sz w:val="24"/>
        </w:rPr>
        <w:t>Rahvusvaheline organisatsioon</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 3 kohaselt tähendab rahvusvaheline organisatsioon mis tahes rahvusvahelist organisatsiooni või sellele täielikult kuuluvat asutust või ametit. See hõlmab mis tahes valitsustevahelist organisatsiooni (sealhulgas riigiülest organisatsiooni), (1) mis koosneb peamiselt riikide valitsustest; (2) millel on jurisdiktsiooniga sõlmitud kehtiv peakorteri leping või muu sarnane leping; ja (3) mille tulu ei teeni eraisikute huve (lõike B punkti 2 alapunkt c). Peakorteri lepinguga sarnane leping hõlmab näiteks lepingut, mis annab organisatsiooni kontoritele või asutustele selles jurisdiktsioonis (näiteks allüksus või kohalik või piirkondlik kontor) õiguse privileegidele ja immuunsusele.</w:t>
      </w:r>
    </w:p>
    <w:p w:rsidR="00010DDB" w:rsidRPr="00E74148" w:rsidRDefault="00010DDB" w:rsidP="00E74148">
      <w:pPr>
        <w:pStyle w:val="Pealkiri5"/>
        <w:widowControl w:val="0"/>
        <w:spacing w:after="100" w:afterAutospacing="1"/>
        <w:rPr>
          <w:sz w:val="24"/>
          <w:szCs w:val="24"/>
        </w:rPr>
      </w:pPr>
      <w:r>
        <w:rPr>
          <w:sz w:val="24"/>
        </w:rPr>
        <w:t>Keskpank</w:t>
      </w:r>
    </w:p>
    <w:p w:rsidR="00010DDB" w:rsidRPr="002801A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801A8">
        <w:rPr>
          <w:sz w:val="24"/>
          <w:szCs w:val="24"/>
        </w:rPr>
        <w:fldChar w:fldCharType="begin"/>
      </w:r>
      <w:r w:rsidR="00010DDB" w:rsidRPr="002801A8">
        <w:rPr>
          <w:sz w:val="24"/>
          <w:szCs w:val="24"/>
        </w:rPr>
        <w:instrText>MACROBUTTON NUMBERING</w:instrText>
      </w:r>
      <w:r w:rsidRPr="002801A8">
        <w:rPr>
          <w:sz w:val="24"/>
          <w:szCs w:val="24"/>
        </w:rPr>
        <w:fldChar w:fldCharType="end"/>
      </w:r>
      <w:r w:rsidR="00010DDB" w:rsidRPr="002801A8">
        <w:rPr>
          <w:sz w:val="24"/>
        </w:rPr>
        <w:t>Lõike B punkti 4 kohaselt tähendab keskpank institutsiooni, mis on seadusega asutatud või valitsuse kinnitatud põhiline asutus, mis on muu kui jurisdiktsiooni valitsus ise, mis väljastab maksevahendina ringlusse lastavaid instrumente. Selline institutsioon on üldjuhul selle jurisdiktsiooni pangavarude haldaja, mille seaduste alusel ta on asutatud. Kõnealune mõiste võib hõlmata ametit, mis on jurisdiktsiooni valitsusest sõltumatu, olenemata sellest, kas see kuulub täielikult või osaliselt jurisdiktsioonile või mitte.</w:t>
      </w:r>
    </w:p>
    <w:p w:rsidR="00010DDB" w:rsidRPr="00E74148" w:rsidRDefault="00010DDB" w:rsidP="00E74148">
      <w:pPr>
        <w:pStyle w:val="Pealkiri4"/>
        <w:keepNext w:val="0"/>
        <w:widowControl w:val="0"/>
        <w:spacing w:after="100" w:afterAutospacing="1"/>
        <w:rPr>
          <w:sz w:val="24"/>
          <w:szCs w:val="24"/>
        </w:rPr>
      </w:pPr>
      <w:r>
        <w:rPr>
          <w:sz w:val="24"/>
        </w:rPr>
        <w:t>Lõike B punktid 5 kuni 7 – fondid</w:t>
      </w:r>
    </w:p>
    <w:p w:rsidR="00010DDB" w:rsidRPr="00E74148" w:rsidRDefault="00010DDB" w:rsidP="00E74148">
      <w:pPr>
        <w:pStyle w:val="Pealkiri5"/>
        <w:widowControl w:val="0"/>
        <w:spacing w:after="100" w:afterAutospacing="1"/>
        <w:rPr>
          <w:sz w:val="24"/>
          <w:szCs w:val="24"/>
        </w:rPr>
      </w:pPr>
      <w:r>
        <w:rPr>
          <w:sz w:val="24"/>
        </w:rPr>
        <w:t>Suure liikmete arvuga pensionifond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Lõike B punkti 5 kohaselt tähendab suure liikmete arvuga pensionifond fondi, mille eesmärk on pakkuda pensioni, invaliidsuse või surma korral makstavat hüvitist või nende kombinatsiooni hüvitise saajatele, kes on ühe või mitme tööandja praegused või endised töötajad (või selliste töötajate poolt määratud isikud), vastutasuks osutatud teenuste eest, eeldusel et</w:t>
      </w:r>
    </w:p>
    <w:p w:rsidR="00010DDB" w:rsidRPr="00E74148" w:rsidRDefault="00010DDB" w:rsidP="005C33A2">
      <w:pPr>
        <w:pStyle w:val="Loendinumber"/>
        <w:widowControl w:val="0"/>
        <w:numPr>
          <w:ilvl w:val="0"/>
          <w:numId w:val="34"/>
        </w:numPr>
        <w:spacing w:after="100" w:afterAutospacing="1"/>
        <w:rPr>
          <w:sz w:val="24"/>
          <w:szCs w:val="24"/>
        </w:rPr>
      </w:pPr>
      <w:r>
        <w:rPr>
          <w:sz w:val="24"/>
        </w:rPr>
        <w:t>fondil ei ole hüvitise saajat, kellel on õigus rohkem kui viiele protsendile fondi varadest;</w:t>
      </w:r>
    </w:p>
    <w:p w:rsidR="00010DDB" w:rsidRPr="00E74148" w:rsidRDefault="00010DDB" w:rsidP="005C33A2">
      <w:pPr>
        <w:pStyle w:val="Loendinumber"/>
        <w:widowControl w:val="0"/>
        <w:numPr>
          <w:ilvl w:val="0"/>
          <w:numId w:val="34"/>
        </w:numPr>
        <w:spacing w:after="100" w:afterAutospacing="1"/>
        <w:rPr>
          <w:sz w:val="24"/>
          <w:szCs w:val="24"/>
        </w:rPr>
      </w:pPr>
      <w:r>
        <w:rPr>
          <w:sz w:val="24"/>
        </w:rPr>
        <w:t>fondile kehtib valitsuse regulatsioon ja fond esitab maksuhaldurile aruandlust; ning</w:t>
      </w:r>
    </w:p>
    <w:p w:rsidR="00010DDB" w:rsidRPr="00E74148" w:rsidRDefault="00010DDB" w:rsidP="005C33A2">
      <w:pPr>
        <w:pStyle w:val="Loendinumber"/>
        <w:widowControl w:val="0"/>
        <w:numPr>
          <w:ilvl w:val="0"/>
          <w:numId w:val="34"/>
        </w:numPr>
        <w:spacing w:after="100" w:afterAutospacing="1"/>
        <w:rPr>
          <w:sz w:val="24"/>
          <w:szCs w:val="24"/>
        </w:rPr>
      </w:pPr>
      <w:r>
        <w:rPr>
          <w:sz w:val="24"/>
        </w:rPr>
        <w:t>fond vastab vähemalt ühele lõike B punkti 5 alapunktis c nimetatud neljast nõudest (fondile kehtivad maksusoodustused, fond saab enamiku sissemaksetest spondeerivatelt tööandjatelt, fondi raha jaotamine või fondist raha väljavõtmine on lubatud üksnes kokkulepitud juhtudel ning töötajate sissemaksed fondi on summaga piiratud).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B punkti 5 alapunktis b nõutud aruandluskohustus võib jurisdiktsiooniti erineda. Üks jurisdiktsioon võib nõuda, et fond esitaks oma hüvitise saajate kohta teavet igal aastal, teine jurisdiktsioon aga võib nõuda, et fond esitaks teavet sissemaksete ja maksukergenduse kohta igal kuul ning teavet oma hüvitise saajate ja spondeerivatelt töötajatelt saadavate kõikide sissemaksete kohta igal aastal. Kuid asjaolu, kas fond esitab teavet asjaomasele maksuhaldurile jurisdiktsioonis, kus fond on asutatud või kus fond tegutseb, on määrava tähtsusega selles, kas fond täidab nimetatud alapunktis sätestatud nõude.</w:t>
      </w:r>
    </w:p>
    <w:p w:rsidR="00010DDB" w:rsidRPr="00E74148" w:rsidRDefault="00010DDB" w:rsidP="00E74148">
      <w:pPr>
        <w:pStyle w:val="Pealkiri5"/>
        <w:widowControl w:val="0"/>
        <w:spacing w:after="100" w:afterAutospacing="1"/>
        <w:rPr>
          <w:sz w:val="24"/>
          <w:szCs w:val="24"/>
        </w:rPr>
      </w:pPr>
      <w:r>
        <w:rPr>
          <w:sz w:val="24"/>
        </w:rPr>
        <w:t>Väikese liikmete arvuga pensionifond</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6 kohaselt tähendab väikese liikmete arvuga pensionifond fondi, mille eesmärk on pakkuda pensioni, invaliidsuse või surma korral makstavat hüvitist hüvitise saajatele, kes on ühe või mitme tööandja praegused või endised töötajad (või selliste töötajate poolt määratud isikud), vastutasuks osutatud teenuste eest, eeldusel et kõik nimetatud punktis sätestatud nõuded on täidetud.</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6 alapunktis c nõutakse, et töötajate ja tööandjate sissemaksed fondi oleks piiratud vastavuses teenitud tulu ja töötaja hüvitisega. See alapunkt jätab piirmäärast välja teatud varade ülekanded (näiteks varade ülekanded lõike C punkti 17 alapunktis a kirjeldatud pensionikontodelt), kuid välistada saab ka muid varade ülekandeid, näiteks lõike B punktides 5 kuni 7 kirjeldatud kontodelt.</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6 alapunktis e nõutud aruandluskohustus võib jurisdiktsiooniti erineda. Kuid nagu on eespool punktis 37 mainitud, on asjaolu, kas fond esitab teavet asjaomasele maksuhaldurile jurisdiktsioonis, kus fond on asutatud või kus fond tegutseb, määrava tähtsusega selles, kas fond täidab nimetatud alapunktis sätestatud nõude.</w:t>
      </w:r>
    </w:p>
    <w:p w:rsidR="00010DDB" w:rsidRPr="00E74148" w:rsidRDefault="00010DDB" w:rsidP="00E74148">
      <w:pPr>
        <w:pStyle w:val="Pealkiri5"/>
        <w:widowControl w:val="0"/>
        <w:spacing w:after="100" w:afterAutospacing="1"/>
        <w:rPr>
          <w:sz w:val="24"/>
          <w:szCs w:val="24"/>
        </w:rPr>
      </w:pPr>
      <w:r>
        <w:rPr>
          <w:sz w:val="24"/>
        </w:rPr>
        <w:t>Valitsuse hallatava ettevõtte, rahvusvahelise organisatsiooni või keskpanga pensionifond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Lõike B punkti 7 kohaselt tähendab valitsuse hallatava ettevõtte, rahvusvahelise organisatsiooni või keskpanga pensionifond valitsuse hallatava ettevõtte, rahvusvahelise organisatsiooni või keskpanga asutatud fondi, mille eesmärk on pakkuda pensioni, invaliidsus- või surma korral makstavat hüvitist hüvitise saajatele või osalejatele, kes on praegused või endised töötajad (või selliste töötajate poolt määratud isikud) või kes pole praegused või endised töötajad, kui hüvitise saajatele või osalejatele makstav hüvitis on </w:t>
      </w:r>
      <w:r w:rsidR="00010DDB">
        <w:rPr>
          <w:sz w:val="24"/>
        </w:rPr>
        <w:lastRenderedPageBreak/>
        <w:t>vastutasuks valitsuse hallatavale ettevõttele, rahvusvahelisele organisatsioonile või keskpangale osutatud isiklike teenuste eest.</w:t>
      </w:r>
    </w:p>
    <w:p w:rsidR="00010DDB" w:rsidRPr="00E74148" w:rsidRDefault="00010DDB" w:rsidP="00E74148">
      <w:pPr>
        <w:pStyle w:val="Pealkiri4"/>
        <w:keepNext w:val="0"/>
        <w:widowControl w:val="0"/>
        <w:spacing w:after="100" w:afterAutospacing="1"/>
        <w:rPr>
          <w:sz w:val="24"/>
          <w:szCs w:val="24"/>
        </w:rPr>
      </w:pPr>
      <w:r>
        <w:rPr>
          <w:sz w:val="24"/>
        </w:rPr>
        <w:t>Lõike B punkt 8 – kvalifitseerunud krediitkaardi väljastaja</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8 kohaselt tähendab kvalifitseerunud krediitkaardi väljastaja finantsasutust, mis vastab järgmistele nõuetele:</w:t>
      </w:r>
    </w:p>
    <w:p w:rsidR="00010DDB" w:rsidRPr="00E74148" w:rsidRDefault="00010DDB" w:rsidP="005C33A2">
      <w:pPr>
        <w:pStyle w:val="Loendinumber"/>
        <w:widowControl w:val="0"/>
        <w:numPr>
          <w:ilvl w:val="0"/>
          <w:numId w:val="35"/>
        </w:numPr>
        <w:spacing w:after="100" w:afterAutospacing="1"/>
        <w:rPr>
          <w:sz w:val="24"/>
          <w:szCs w:val="24"/>
        </w:rPr>
      </w:pPr>
      <w:r>
        <w:rPr>
          <w:sz w:val="24"/>
        </w:rPr>
        <w:t>finantsasutus on finantsasutus üksnes seetõttu, et see on krediitkaartide väljastaja, mis võtab vastu hoiuseid ainult siis, kui klient teeb makse, mis ületab kaardi saldot ning enammakset ei tagastata kliendile viivitamata; ning</w:t>
      </w:r>
    </w:p>
    <w:p w:rsidR="00010DDB" w:rsidRPr="00E74148" w:rsidRDefault="00010DDB" w:rsidP="005C33A2">
      <w:pPr>
        <w:pStyle w:val="Loendinumber"/>
        <w:widowControl w:val="0"/>
        <w:numPr>
          <w:ilvl w:val="0"/>
          <w:numId w:val="35"/>
        </w:numPr>
        <w:spacing w:after="100" w:afterAutospacing="1"/>
        <w:rPr>
          <w:sz w:val="24"/>
          <w:szCs w:val="24"/>
        </w:rPr>
      </w:pPr>
      <w:r>
        <w:rPr>
          <w:sz w:val="24"/>
        </w:rPr>
        <w:t>finantsasutus kehtestab alates [xx/xx/xxxx] või enne seda kuupäeva eeskirjad ja protseduurid, mis kas välistavad 50 000 USA dollarit ületavad klientide enammaksed või tagavad, et mis tahes 50 000 USA dollarit ületav kliendi enammakse (ja kaardi saldot ületav makse) tagastatakse kliendile 60 päeva jooksul, ning kõikidel juhtudel kohaldatakse VII osa lõikes C ette nähtud eeskirju kontode liitmise ja valuuta ümberarvestamise kohta. Käesolevas punktis ei käsitata kliendi kaardisaldot ületavat summat enammaksena vaidlustatud kulude ulatuses, kuid kaardisaldot ületavat summat käsitatakse enammaksena kauba tagastamisest tuleneva summa ulatuses.</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Kuigi lõike B punkti 8 alapunktis b lahtiseks jäetud kuupäeva määrab kindlaks ühtset aruandluse standardit rakendav jurisdiktsioon, eeldatakse, et valitakse sama kuupäev, mis valiti uue konto mõiste kohta. Selles kontekstis peab pärast valitud kuupäeva asutatud finantsasutus täitma lõike B punkti 8 alapunktis b nimetatud nõude kuue kuu jooksul pärast finantsasutuse asutamiskuupäeva.</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Aruandekohustuslik finantsasutus, mis ei täida nõudeid, mis on vajalikud, et teda käsitataks kvalifitseerunud krediitkaardi väljastajana, kuid mis võtab vastu hoiuseid, kui klient teeb makse, mis ületab krediitkaardi või uueneva krediidiliini saldot, ei tohi ikkagi esitada aruannet hoiusekonto kohta, kui lõike C punkti 17 alapunkti f alusel käsitatakse kontot välistatud kontona.</w:t>
      </w:r>
    </w:p>
    <w:p w:rsidR="00010DDB" w:rsidRPr="00E74148" w:rsidRDefault="00010DDB" w:rsidP="00E74148">
      <w:pPr>
        <w:pStyle w:val="Pealkiri4"/>
        <w:keepNext w:val="0"/>
        <w:widowControl w:val="0"/>
        <w:spacing w:after="100" w:afterAutospacing="1"/>
        <w:rPr>
          <w:sz w:val="24"/>
          <w:szCs w:val="24"/>
        </w:rPr>
      </w:pPr>
      <w:r>
        <w:rPr>
          <w:sz w:val="24"/>
        </w:rPr>
        <w:t>Lõike B punkti 1 alapunkt c – madala riskiga mittearuandekohustuslikud finantsasutused</w:t>
      </w:r>
    </w:p>
    <w:p w:rsidR="00010DDB"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4"/>
          <w:sz w:val="24"/>
          <w:szCs w:val="24"/>
        </w:rPr>
      </w:pPr>
      <w:r w:rsidRPr="007223F4">
        <w:rPr>
          <w:spacing w:val="-4"/>
          <w:sz w:val="24"/>
          <w:szCs w:val="24"/>
        </w:rPr>
        <w:fldChar w:fldCharType="begin"/>
      </w:r>
      <w:r w:rsidR="00010DDB" w:rsidRPr="007223F4">
        <w:rPr>
          <w:spacing w:val="-4"/>
          <w:sz w:val="24"/>
          <w:szCs w:val="24"/>
        </w:rPr>
        <w:instrText>MACROBUTTON NUMBERING</w:instrText>
      </w:r>
      <w:r w:rsidRPr="007223F4">
        <w:rPr>
          <w:spacing w:val="-4"/>
          <w:sz w:val="24"/>
          <w:szCs w:val="24"/>
        </w:rPr>
        <w:fldChar w:fldCharType="end"/>
      </w:r>
      <w:r w:rsidR="00010DDB" w:rsidRPr="007223F4">
        <w:rPr>
          <w:spacing w:val="-4"/>
          <w:sz w:val="24"/>
        </w:rPr>
        <w:t>Lõike B punkti 1 alapunkti c kohaselt võib finantsasutus olla mittearuandekohustuslik finantsasutus, kui</w:t>
      </w:r>
    </w:p>
    <w:p w:rsidR="00010DDB" w:rsidRPr="00E74148" w:rsidRDefault="00010DDB" w:rsidP="005C33A2">
      <w:pPr>
        <w:pStyle w:val="Loendinumber"/>
        <w:widowControl w:val="0"/>
        <w:numPr>
          <w:ilvl w:val="0"/>
          <w:numId w:val="36"/>
        </w:numPr>
        <w:spacing w:after="100" w:afterAutospacing="1"/>
        <w:rPr>
          <w:sz w:val="24"/>
          <w:szCs w:val="24"/>
        </w:rPr>
      </w:pPr>
      <w:r>
        <w:rPr>
          <w:sz w:val="24"/>
        </w:rPr>
        <w:t>finantsasutuse puhul ei ole tõenäoline, et seda kasutataks maksudest kõrvalehoidumiseks;</w:t>
      </w:r>
    </w:p>
    <w:p w:rsidR="00010DDB" w:rsidRPr="00E74148" w:rsidRDefault="00010DDB" w:rsidP="005C33A2">
      <w:pPr>
        <w:pStyle w:val="Loendinumber"/>
        <w:widowControl w:val="0"/>
        <w:numPr>
          <w:ilvl w:val="0"/>
          <w:numId w:val="36"/>
        </w:numPr>
        <w:spacing w:after="100" w:afterAutospacing="1"/>
        <w:rPr>
          <w:sz w:val="24"/>
          <w:szCs w:val="24"/>
        </w:rPr>
      </w:pPr>
      <w:r>
        <w:rPr>
          <w:sz w:val="24"/>
        </w:rPr>
        <w:t>finantsasutusel on lõike B punkti 1 alapunktides a ja b kirjeldatud ettevõtetega sarnased tunnused;</w:t>
      </w:r>
    </w:p>
    <w:p w:rsidR="00010DDB" w:rsidRPr="00E74148" w:rsidRDefault="00010DDB" w:rsidP="005C33A2">
      <w:pPr>
        <w:pStyle w:val="Loendinumber"/>
        <w:widowControl w:val="0"/>
        <w:numPr>
          <w:ilvl w:val="0"/>
          <w:numId w:val="36"/>
        </w:numPr>
        <w:spacing w:after="100" w:afterAutospacing="1"/>
        <w:rPr>
          <w:sz w:val="24"/>
          <w:szCs w:val="24"/>
        </w:rPr>
      </w:pPr>
      <w:r>
        <w:rPr>
          <w:sz w:val="24"/>
        </w:rPr>
        <w:t>finantsasutust käsitatakse riigisisese õiguse kohaselt mittearuandekohustusliku finantsasutusena; ja</w:t>
      </w:r>
    </w:p>
    <w:p w:rsidR="00010DDB" w:rsidRPr="00E74148" w:rsidRDefault="00010DDB" w:rsidP="005C33A2">
      <w:pPr>
        <w:pStyle w:val="Loendinumber"/>
        <w:widowControl w:val="0"/>
        <w:numPr>
          <w:ilvl w:val="0"/>
          <w:numId w:val="36"/>
        </w:numPr>
        <w:spacing w:after="100" w:afterAutospacing="1"/>
        <w:rPr>
          <w:sz w:val="24"/>
          <w:szCs w:val="24"/>
        </w:rPr>
      </w:pPr>
      <w:r>
        <w:rPr>
          <w:sz w:val="24"/>
        </w:rPr>
        <w:t>finantsasutuse käsitamine mittearuandekohustusliku finantsasutusena ei lähe vastuollu ühtse aruandluse standardiga.</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 xml:space="preserve">Selle mittearuandekohustusliku finantsasutuse mitteammendava kategooria eesmärk on sobida finantsasutuste jurisdiktsioonispetsiifilistele liikidele, mis täidavad lõike B punkti 1 alapunktis c nimetatud tingimusi, ning samuti väldib see vajadust rääkida finantskontodealase teabe automaatse vahetamise lepingu sõlmimisel läbi mittearuandekohustuslike </w:t>
      </w:r>
      <w:r w:rsidR="00010DDB" w:rsidRPr="00987334">
        <w:rPr>
          <w:sz w:val="24"/>
        </w:rPr>
        <w:lastRenderedPageBreak/>
        <w:t>finantsasutuste liike.</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1 alapunktis c kirjeldatud esimene tingimus on, et finantsasutuse puhul ei oleks tõenäoline, et seda kasutataks maksudest kõrvalehoidumiseks. Tegurid, mida võib sellise riski kindlakstegemiseks arvesse võtta, hõlmavad</w:t>
      </w:r>
    </w:p>
    <w:p w:rsidR="00010DDB" w:rsidRPr="00E74148" w:rsidRDefault="00010DDB" w:rsidP="005C33A2">
      <w:pPr>
        <w:pStyle w:val="Loendinumber"/>
        <w:widowControl w:val="0"/>
        <w:numPr>
          <w:ilvl w:val="0"/>
          <w:numId w:val="37"/>
        </w:numPr>
        <w:spacing w:after="100" w:afterAutospacing="1"/>
        <w:rPr>
          <w:sz w:val="24"/>
          <w:szCs w:val="24"/>
        </w:rPr>
      </w:pPr>
      <w:r>
        <w:rPr>
          <w:sz w:val="24"/>
        </w:rPr>
        <w:t>madala riski tegureid:</w:t>
      </w:r>
    </w:p>
    <w:p w:rsidR="00010DDB" w:rsidRPr="00E74148" w:rsidRDefault="00010DDB" w:rsidP="005C33A2">
      <w:pPr>
        <w:pStyle w:val="Loendinumber"/>
        <w:widowControl w:val="0"/>
        <w:numPr>
          <w:ilvl w:val="1"/>
          <w:numId w:val="37"/>
        </w:numPr>
        <w:spacing w:after="100" w:afterAutospacing="1"/>
        <w:rPr>
          <w:sz w:val="24"/>
          <w:szCs w:val="24"/>
        </w:rPr>
      </w:pPr>
      <w:r>
        <w:rPr>
          <w:sz w:val="24"/>
        </w:rPr>
        <w:t>finantsasutus on reguleeritud;</w:t>
      </w:r>
    </w:p>
    <w:p w:rsidR="00010DDB" w:rsidRPr="00E74148" w:rsidRDefault="00010DDB" w:rsidP="005C33A2">
      <w:pPr>
        <w:pStyle w:val="Loendinumber"/>
        <w:widowControl w:val="0"/>
        <w:numPr>
          <w:ilvl w:val="1"/>
          <w:numId w:val="37"/>
        </w:numPr>
        <w:spacing w:after="100" w:afterAutospacing="1"/>
        <w:rPr>
          <w:sz w:val="24"/>
          <w:szCs w:val="24"/>
        </w:rPr>
      </w:pPr>
      <w:r>
        <w:rPr>
          <w:sz w:val="24"/>
        </w:rPr>
        <w:t>finantsasutus on kohustatud esitama maksuhaldurile teavet;</w:t>
      </w:r>
    </w:p>
    <w:p w:rsidR="00010DDB" w:rsidRPr="00E74148" w:rsidRDefault="00010DDB" w:rsidP="005C33A2">
      <w:pPr>
        <w:pStyle w:val="Loendinumber"/>
        <w:widowControl w:val="0"/>
        <w:numPr>
          <w:ilvl w:val="0"/>
          <w:numId w:val="37"/>
        </w:numPr>
        <w:spacing w:after="100" w:afterAutospacing="1"/>
        <w:rPr>
          <w:sz w:val="24"/>
          <w:szCs w:val="24"/>
        </w:rPr>
      </w:pPr>
      <w:r>
        <w:rPr>
          <w:sz w:val="24"/>
        </w:rPr>
        <w:t>kõrge riski tegureid:</w:t>
      </w:r>
    </w:p>
    <w:p w:rsidR="00010DDB" w:rsidRPr="00E74148" w:rsidRDefault="00010DDB" w:rsidP="005C33A2">
      <w:pPr>
        <w:pStyle w:val="Loendinumber"/>
        <w:widowControl w:val="0"/>
        <w:numPr>
          <w:ilvl w:val="1"/>
          <w:numId w:val="37"/>
        </w:numPr>
        <w:spacing w:after="100" w:afterAutospacing="1"/>
        <w:rPr>
          <w:sz w:val="24"/>
          <w:szCs w:val="24"/>
        </w:rPr>
      </w:pPr>
      <w:r>
        <w:rPr>
          <w:sz w:val="24"/>
        </w:rPr>
        <w:t>finantsasutuse liigile ei kehti rahapesu tõkestamise / klienditundmise põhimõte;</w:t>
      </w:r>
    </w:p>
    <w:p w:rsidR="00010DDB" w:rsidRPr="007223F4" w:rsidRDefault="00010DDB" w:rsidP="005C33A2">
      <w:pPr>
        <w:pStyle w:val="Loendinumber"/>
        <w:widowControl w:val="0"/>
        <w:numPr>
          <w:ilvl w:val="1"/>
          <w:numId w:val="37"/>
        </w:numPr>
        <w:spacing w:after="100" w:afterAutospacing="1"/>
        <w:rPr>
          <w:spacing w:val="-4"/>
          <w:sz w:val="24"/>
          <w:szCs w:val="24"/>
        </w:rPr>
      </w:pPr>
      <w:r w:rsidRPr="007223F4">
        <w:rPr>
          <w:spacing w:val="-4"/>
          <w:sz w:val="24"/>
        </w:rPr>
        <w:t>finantsasutuse liigil on lubatud välja lasta osakuid esitajaosakutena ja talle ei kehti FATF-i soovitusi rakendavad tõhusad meetmed juriidiliste isikute läbipaistvuse ja tulu saavate omanike kohta;</w:t>
      </w:r>
      <w:r w:rsidRPr="007223F4">
        <w:rPr>
          <w:rStyle w:val="Allmrkuseviide"/>
          <w:spacing w:val="-4"/>
          <w:sz w:val="24"/>
        </w:rPr>
        <w:footnoteReference w:id="10"/>
      </w:r>
    </w:p>
    <w:p w:rsidR="00010DDB" w:rsidRPr="00E74148" w:rsidRDefault="00010DDB" w:rsidP="005C33A2">
      <w:pPr>
        <w:pStyle w:val="Loendinumber"/>
        <w:widowControl w:val="0"/>
        <w:numPr>
          <w:ilvl w:val="1"/>
          <w:numId w:val="37"/>
        </w:numPr>
        <w:spacing w:after="100" w:afterAutospacing="1"/>
        <w:rPr>
          <w:sz w:val="24"/>
          <w:szCs w:val="24"/>
        </w:rPr>
      </w:pPr>
      <w:r>
        <w:rPr>
          <w:sz w:val="24"/>
        </w:rPr>
        <w:t>finantsasutuse liiki reklaamitakse maksuvähendamise mehhanismina.</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1 alapunktis c kirjeldatud teine tingimus on, et finantsasutusel oleksid lõike B punkti 1 alapunktides a ja b kirjeldatud ettevõtetega sarnased tunnused. Seda tingimust ei saa kasutada üksnes selleks, et elimineerida kirjelduse teatud element. Iga jurisdiktsioon võib hinnata selle tingimuse kohaldamist finantsasutuse liigile, mis ei täida lõike B punkti 1 alapunktides a ja b nimetatud teatud kirjelduse tingimusi. Sellise hinnangu raames peab jurisdiktsioon tegema kindlaks, millised tingimused on täidetud ja millised mitte, ning tegema täitmata tingimuste puhul kindlaks, kas on olemas asendustingimus, mis tagab samaväärse kindluse, et finantsasutuse asjaomase liigi puhul ei ole tõenäoline, et seda kasutataks maksudest kõrvalehoidumiseks.</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1 alapunktis c kirjeldatud kolmas tingimus on, et finantsasutust käsitataks riigisisese õiguse kohaselt mittearuandekohustusliku finantsasutusena. See tingimus on täidetud, kui jurisdiktsioon määratleb mittearuandekohustusliku finantsasutusena teatud liiki finantsasutuse ja see määratlus sisaldub riigisiseses õiguses. Selles kontekstis peab jurisdiktsioon üldjuhul silmas finantsasutusi, mida käsitatakse vabastatud tulusaavate omanikena või nõuetelevastavaks peetavate FFI-dena jurisdiktsiooni ja Ameerika Ühendriikide vahelises valitsustevahelises lepingus, mis on sõlmitud maksustamisnõuetest kinnipidamise parandamiseks, sealhulgas seoses FATCA-ga, eeldusel et sellist liiki finantsasutused täidavad kõiki lõike B punkti 1 alapunktis c nimetatud tingimusi. Eeldatakse, et igal jurisdiktsioonil on üks ühtne riigisiseselt määratletud mittearuandekohustuslike finantsasutuste nimekiri (vastupidiselt eri nimekirjadele erinevate osalevate jurisdiktsioonide jaoks), mis on avalikult kättesaadav.</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B punkti 1 alapunktis c kirjeldatud neljas tingimus on, et ettevõtte käsitamine mittearuandekohustusliku finantsasutusena ei läheks vastuollu ühtse aruandluse standardiga. Eeldatakse, et selle tingimuse täitmist jälgitakse muu hulgas alljärgneva kaudu:</w:t>
      </w:r>
    </w:p>
    <w:p w:rsidR="00010DDB" w:rsidRPr="00E74148" w:rsidRDefault="00010DDB" w:rsidP="005C33A2">
      <w:pPr>
        <w:pStyle w:val="Loendinumber"/>
        <w:widowControl w:val="0"/>
        <w:numPr>
          <w:ilvl w:val="0"/>
          <w:numId w:val="38"/>
        </w:numPr>
        <w:spacing w:after="100" w:afterAutospacing="1"/>
        <w:rPr>
          <w:sz w:val="24"/>
          <w:szCs w:val="24"/>
        </w:rPr>
      </w:pPr>
      <w:r>
        <w:rPr>
          <w:sz w:val="24"/>
        </w:rPr>
        <w:t xml:space="preserve">halduskord, mille jurisdiktsioon peab olema kehtestanud, et tagada, et riigisiseses õiguses mittearuandekohustuslike finantsasutustena määratletud finantsasutuste puhul ei ole jätkuvalt tõenäoline, et neid kasutataks maksudest kõrvalehoidumiseks </w:t>
      </w:r>
      <w:r>
        <w:rPr>
          <w:sz w:val="24"/>
        </w:rPr>
        <w:lastRenderedPageBreak/>
        <w:t>(vt IX osa lõike A punkti 4);</w:t>
      </w:r>
    </w:p>
    <w:p w:rsidR="00010DDB" w:rsidRPr="00E74148" w:rsidRDefault="00010DDB" w:rsidP="005C33A2">
      <w:pPr>
        <w:pStyle w:val="Loendinumber"/>
        <w:widowControl w:val="0"/>
        <w:numPr>
          <w:ilvl w:val="0"/>
          <w:numId w:val="38"/>
        </w:numPr>
        <w:spacing w:after="100" w:afterAutospacing="1"/>
        <w:rPr>
          <w:sz w:val="24"/>
          <w:szCs w:val="24"/>
        </w:rPr>
      </w:pPr>
      <w:r>
        <w:rPr>
          <w:sz w:val="24"/>
        </w:rPr>
        <w:t>pädeva asutusega teabevahetuse ajutine peatamine olukorras, kus teine pädev asutus on määratlenud finantsasutuse mittearuandekohustusliku finantsasutusena viisil, mis läheb vastuollu ühtse aruandluse standardiga (vt pädeva asutuse mudellepingu artikli 7 lõiget 2); ja</w:t>
      </w:r>
    </w:p>
    <w:p w:rsidR="00010DDB" w:rsidRPr="00E74148" w:rsidRDefault="00010DDB" w:rsidP="005C33A2">
      <w:pPr>
        <w:pStyle w:val="Loendinumber"/>
        <w:widowControl w:val="0"/>
        <w:numPr>
          <w:ilvl w:val="0"/>
          <w:numId w:val="38"/>
        </w:numPr>
        <w:spacing w:after="100" w:afterAutospacing="1"/>
        <w:rPr>
          <w:sz w:val="24"/>
          <w:szCs w:val="24"/>
        </w:rPr>
      </w:pPr>
      <w:r>
        <w:rPr>
          <w:sz w:val="24"/>
        </w:rPr>
        <w:t>G20 ülemaailmsele läbipaistvuse ja maksualase teabevahetuse foorumile ülesandeks tehtud mehhanism ühtse aruandluse standardi rakendamise ülevaatamiseks (vt G20 liidrite deklaratsioon, Peterburi tippkohtumine, 5.–6. september 2013, punkt 51).</w:t>
      </w:r>
      <w:r>
        <w:rPr>
          <w:rStyle w:val="Allmrkuseviide"/>
          <w:sz w:val="24"/>
        </w:rPr>
        <w:footnoteReference w:id="11"/>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Pr="00987334">
        <w:rPr>
          <w:sz w:val="24"/>
          <w:szCs w:val="24"/>
        </w:rPr>
        <w:fldChar w:fldCharType="begin"/>
      </w:r>
      <w:r w:rsidR="00987334" w:rsidRPr="00987334">
        <w:rPr>
          <w:sz w:val="24"/>
          <w:szCs w:val="24"/>
        </w:rPr>
        <w:instrText>MACROBUTTON NUMBERING</w:instrText>
      </w:r>
      <w:r w:rsidRPr="00987334">
        <w:rPr>
          <w:sz w:val="24"/>
          <w:szCs w:val="24"/>
        </w:rPr>
        <w:fldChar w:fldCharType="end"/>
      </w:r>
      <w:r w:rsidR="00010DDB" w:rsidRPr="00987334">
        <w:rPr>
          <w:sz w:val="24"/>
        </w:rPr>
        <w:t>Järgnevad näited illustreerivad lõike B punkti 1 alapunkti c kohaldamist.</w:t>
      </w:r>
    </w:p>
    <w:p w:rsidR="00010DDB" w:rsidRPr="00E74148" w:rsidRDefault="00010DDB" w:rsidP="00E74148">
      <w:pPr>
        <w:pStyle w:val="Loenditpp"/>
        <w:widowControl w:val="0"/>
        <w:spacing w:after="100" w:afterAutospacing="1"/>
        <w:rPr>
          <w:sz w:val="24"/>
          <w:szCs w:val="24"/>
        </w:rPr>
      </w:pPr>
      <w:r>
        <w:rPr>
          <w:sz w:val="24"/>
        </w:rPr>
        <w:t>Näide 1 (mittetulundusorganisatsioon). Teatud liiki mittetulundusorganisatsioon, mis on finantsasutus, ei täida kõiki lõike B punkti 1 alapunktides a või b nimetatud tingimusi. Sellist liiki mittearuandekohustuslikku finantsasutust ei saa riigisiseses õiguses määratleda mittearuande</w:t>
      </w:r>
      <w:r w:rsidR="007223F4">
        <w:rPr>
          <w:sz w:val="24"/>
        </w:rPr>
        <w:softHyphen/>
      </w:r>
      <w:r>
        <w:rPr>
          <w:sz w:val="24"/>
        </w:rPr>
        <w:t>kohustusliku finantsasutusena üksnes selle tõttu, et see on mittetulundusorganisatsioon.</w:t>
      </w:r>
    </w:p>
    <w:p w:rsidR="00010DDB" w:rsidRPr="00E74148" w:rsidRDefault="00010DDB" w:rsidP="00E74148">
      <w:pPr>
        <w:pStyle w:val="Loenditpp"/>
        <w:widowControl w:val="0"/>
        <w:spacing w:after="100" w:afterAutospacing="1"/>
        <w:rPr>
          <w:sz w:val="24"/>
          <w:szCs w:val="24"/>
        </w:rPr>
      </w:pPr>
      <w:r>
        <w:rPr>
          <w:sz w:val="24"/>
        </w:rPr>
        <w:t>Näide 2 (pensionifond ka füüsilisest isikust ettevõtjatele). Teatud liiki pensionifond, mis on finantsasutus, täidab kõiki lõike B punktis 5 nimetatud tingimusi. Kuid jurisdiktsiooni, kus fond on asutatud või kus see tegutseb, seaduste alusel on nõutud, et hüvitist tuleb maksta ka hüvitise saajatele, kes on füüsilisest isikust ettevõtjad. Kuna kehtib üldine asendustingimus, mis näeb ette samaväärse kindluse, et fondi puhul ei ole tõenäoline, et seda kasutataks maksudest kõrvalehoidumiseks, võib sellist liiki finantsasutust määratleda riigisiseses õiguses mittearuande</w:t>
      </w:r>
      <w:r w:rsidR="007223F4">
        <w:rPr>
          <w:sz w:val="24"/>
        </w:rPr>
        <w:softHyphen/>
      </w:r>
      <w:r>
        <w:rPr>
          <w:sz w:val="24"/>
        </w:rPr>
        <w:t>kohustusliku finantsasutusena.</w:t>
      </w:r>
    </w:p>
    <w:p w:rsidR="00010DDB" w:rsidRPr="00E74148" w:rsidRDefault="00010DDB" w:rsidP="00E74148">
      <w:pPr>
        <w:pStyle w:val="Loenditpp"/>
        <w:widowControl w:val="0"/>
        <w:spacing w:after="100" w:afterAutospacing="1"/>
        <w:rPr>
          <w:sz w:val="24"/>
          <w:szCs w:val="24"/>
        </w:rPr>
      </w:pPr>
      <w:r>
        <w:rPr>
          <w:sz w:val="24"/>
        </w:rPr>
        <w:t>Näide 3 (piiramatu pensionifond). Teatud liiki pensionifond, mis on finantsasutus, täidab kõiki lõike B punktis 6 nimetatud tingimusi, välja arvatud lõike B punkti 6 alapunktis c nimetatud tingimust (töötajate ja tööandjate sissemaksed fondi ei ole piiratud). Kuid töötajate ja tööandjate sissemaksetega seotud maksukergendus on piiratud teenitud tulu ja töötaja hüvitisega. Kuna kehtib asendustingimus, mis näeb ette samaväärse kindluse, et fondi puhul ei ole tõenäoline, et seda kasutataks maksudest kõrvalehoidumiseks, võib sellist liiki finantsasutust määratleda riigisiseses õiguses mittearuandekohustusliku finantsasutusena.</w:t>
      </w:r>
    </w:p>
    <w:p w:rsidR="00010DDB" w:rsidRPr="00E74148" w:rsidRDefault="00010DDB" w:rsidP="00E74148">
      <w:pPr>
        <w:pStyle w:val="Loenditpp"/>
        <w:widowControl w:val="0"/>
        <w:spacing w:after="100" w:afterAutospacing="1"/>
        <w:rPr>
          <w:sz w:val="24"/>
          <w:szCs w:val="24"/>
        </w:rPr>
      </w:pPr>
      <w:r>
        <w:rPr>
          <w:sz w:val="24"/>
        </w:rPr>
        <w:t>Näide 4 (investeerimisüksus eranditult pensionifondide jaoks). Teatud liiki investeerimisüksus, mis on finantsasutus, on asutatud eranditult selleks, et teenida tulu lõike B punktides 5 kuni 7 kirjeldatud ühele või mitmele pensionifondile või lõike C punkti 17 alapunktis a kirjeldatud pensionikontole. Kuna mehhanismi kogu tulu teenib mittearuandekohustuslike finantsasutuste või välistatud kontode huve ja kehtib üldine asendustingimus, mis näeb ette samaväärse kindluse, et fondi puhul ei ole tõenäoline, et seda kasutataks maksudest kõrvalehoidumiseks, võib sellist liiki finantsasutust määratleda riigisiseses õiguses mittearuandekohustusliku finantsasutusena.</w:t>
      </w:r>
    </w:p>
    <w:p w:rsidR="00010DDB" w:rsidRPr="00E74148" w:rsidRDefault="00010DDB" w:rsidP="00E74148">
      <w:pPr>
        <w:pStyle w:val="Pealkiri4"/>
        <w:keepNext w:val="0"/>
        <w:widowControl w:val="0"/>
        <w:spacing w:after="100" w:afterAutospacing="1"/>
        <w:rPr>
          <w:sz w:val="24"/>
          <w:szCs w:val="24"/>
        </w:rPr>
      </w:pPr>
      <w:r>
        <w:rPr>
          <w:sz w:val="24"/>
        </w:rPr>
        <w:t>Lõike B punkt 9 – vabastatud kollektiivne investeerimisüksus</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 xml:space="preserve">Lõike B punkti 9 kohaselt tähendab vabastatud kollektiivne investeerimisüksus investeerimisettevõtet, mida reguleeritakse kui kollektiivset investeerimisüksust, eeldusel et kõik omandiõigused kollektiivses investeerimisüksuses kuuluvad isikutele või ettevõtetele, mis ei ole avaldatavad isikud (kuna nad on finantsasutused), või et neid omandiõigusi </w:t>
      </w:r>
      <w:r w:rsidR="00010DDB" w:rsidRPr="00987334">
        <w:rPr>
          <w:sz w:val="24"/>
        </w:rPr>
        <w:lastRenderedPageBreak/>
        <w:t>omatakse eelnimetatute vahendusel, välja arvatud passiivne NFE, millel on kontrollivad isikud, kes on avaldatavad isikud.</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Üldjuhul ei ole investeerimisettevõttel, milles kõik omandiõigused kuuluvad isikutele, kes ei ole avaldatavad isikud, või neid omandiõigusi omatakse eelnimetatute vahendusel, aruandluskohustusi olenemata sellest, kas see kvalifitseerub lõike B punkti 9 alusel vabastatud kollektiivse investeerimisüksusena või mitte. Kuid selline kvalifitseerumine võib olla asjakohane investeerimisettevõttele pandud teiste kohustuste tõttu, näiteks avaldatavate kontode puudumise korral nullaruande esitamine (kui see on riigisisese õigusega ette nähtud).</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Reegel, mida tuleb kasutada, kui jurisdiktsioon on varem lubanud kollektiivsel investeerimisüksusel lasta välja esitajaosakuid, on sätestatud lõike B punktis 9. Investeerimisettevõte, mida reguleeritakse kui kollektiivset investeerimisüksust ei kaota oma staatust vabastatud kollektiivse investeerimisüksusena ainult sel põhjusel, et on füüsiliselt väljastanud esitajaosakuid, tingimusel et</w:t>
      </w:r>
    </w:p>
    <w:p w:rsidR="00010DDB" w:rsidRPr="00E74148" w:rsidRDefault="00010DDB" w:rsidP="005C33A2">
      <w:pPr>
        <w:pStyle w:val="Loendinumber"/>
        <w:widowControl w:val="0"/>
        <w:numPr>
          <w:ilvl w:val="0"/>
          <w:numId w:val="39"/>
        </w:numPr>
        <w:spacing w:after="100" w:afterAutospacing="1"/>
        <w:rPr>
          <w:sz w:val="24"/>
          <w:szCs w:val="24"/>
        </w:rPr>
      </w:pPr>
      <w:r>
        <w:rPr>
          <w:sz w:val="24"/>
        </w:rPr>
        <w:t>kollektiivne investeerimisüksus ei ole väljastanud ega väljasta esitajaosakuid füüsiliselt pärast [xx/xx/xxxx];</w:t>
      </w:r>
    </w:p>
    <w:p w:rsidR="00010DDB" w:rsidRPr="00E74148" w:rsidRDefault="00010DDB" w:rsidP="005C33A2">
      <w:pPr>
        <w:pStyle w:val="Loendinumber"/>
        <w:widowControl w:val="0"/>
        <w:numPr>
          <w:ilvl w:val="0"/>
          <w:numId w:val="39"/>
        </w:numPr>
        <w:spacing w:after="100" w:afterAutospacing="1"/>
        <w:rPr>
          <w:sz w:val="24"/>
          <w:szCs w:val="24"/>
        </w:rPr>
      </w:pPr>
      <w:r>
        <w:rPr>
          <w:sz w:val="24"/>
        </w:rPr>
        <w:t>kollektiivne investeerimisüksus eemaldab käibelt kõik talle esitatud esitajaosakud;</w:t>
      </w:r>
    </w:p>
    <w:p w:rsidR="00010DDB" w:rsidRPr="00E74148" w:rsidRDefault="00010DDB" w:rsidP="005C33A2">
      <w:pPr>
        <w:pStyle w:val="Loendinumber"/>
        <w:widowControl w:val="0"/>
        <w:numPr>
          <w:ilvl w:val="0"/>
          <w:numId w:val="39"/>
        </w:numPr>
        <w:spacing w:after="100" w:afterAutospacing="1"/>
        <w:rPr>
          <w:sz w:val="24"/>
          <w:szCs w:val="24"/>
        </w:rPr>
      </w:pPr>
      <w:r>
        <w:rPr>
          <w:sz w:val="24"/>
        </w:rPr>
        <w:t>kollektiivne investeerimisüksus võtab II kuni VII osas sätestatud hoolsusmeetmed ja kui esitajaosakud on esitatud lunastamiseks või muu makse tegemiseks, esitab aruande esitajaosakute kohta nõutava teabega; ja</w:t>
      </w:r>
    </w:p>
    <w:p w:rsidR="00010DDB" w:rsidRPr="00E74148" w:rsidRDefault="00010DDB" w:rsidP="005C33A2">
      <w:pPr>
        <w:pStyle w:val="Loendinumber"/>
        <w:widowControl w:val="0"/>
        <w:numPr>
          <w:ilvl w:val="0"/>
          <w:numId w:val="39"/>
        </w:numPr>
        <w:spacing w:after="100" w:afterAutospacing="1"/>
        <w:rPr>
          <w:sz w:val="24"/>
          <w:szCs w:val="24"/>
        </w:rPr>
      </w:pPr>
      <w:r>
        <w:rPr>
          <w:sz w:val="24"/>
        </w:rPr>
        <w:t>kollektiivne investeerimisüksus on kehtestanud eeskirjad ja protseduurid selleks, et taolised osakud lunastataks või kõrvaldataks niipea kui võimalik, kuid igal juhul enne [xx/xx/xxxx].</w:t>
      </w:r>
    </w:p>
    <w:p w:rsidR="00010DDB" w:rsidRPr="00E74148" w:rsidRDefault="00010DDB" w:rsidP="00E74148">
      <w:pPr>
        <w:pStyle w:val="Pealkiri4"/>
        <w:keepNext w:val="0"/>
        <w:widowControl w:val="0"/>
        <w:spacing w:after="100" w:afterAutospacing="1"/>
        <w:rPr>
          <w:sz w:val="24"/>
          <w:szCs w:val="24"/>
        </w:rPr>
      </w:pPr>
      <w:r>
        <w:rPr>
          <w:sz w:val="24"/>
        </w:rPr>
        <w:t>Lõike B punkti 1 alapunkt e – trusti haldaja dokumenteeritud trust</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Trust, mis on finantsasutus (näiteks kuna see on investeerimisettevõte), on lõike B punkti 1 alapunkti e kohaselt mittearuandekohustuslik finantsasutus niivõrd, kuivõrd trusti haldaja on aruandekohustuslik finantsasutus ning esitab aruande kogu I osa kohaselt avaldatava teabe kohta seoses trusti kõikide avaldatavate kontodega.</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See mittearuandekohustusliku finantsasutuse kategooria jõuab sarnasele tulemusele kui II osa lõike D alusel, mille kohaselt on aruandekohustuslikel finantsasutustel lubatud kasutada neile pandud aruandluse ja hoolsusmeetmetega seotud kohustuste täitmiseks teenusepakkujat. Ainuke erinevus selle lõike ja kõnealuse kategooria vahel seisneb selles, et aruandluse ja hoolsusmeetmetega seotud kohustuste, mille on täitnud teenusepakkuja, täitmise eest jääb vastutavaks aruandekohustuslik finantsasutus, kuid vastutus trusti haldaja dokumenteeritud trusti haldaja täidetud kohustuste eest läheb trustilt üle selle haldajale. See kategooria ei muuda aga aruandluse ja hoolsusmeetmetega seotud kohustuste täitmise aega ega viisi, mis kehtivad endiselt selliselt, nagu need oleksid trusti vastutusel. Näiteks ei tohi trusti haldaja esitada teavet trusti haldaja dokumenteeritud trustis oleva avaldatava konto kohta nii, nagu see oleks trusti haldaja avaldatav konto. Trusti haldaja peab avaldama teavet, nagu oleks seda teinud trusti haldaja dokumenteeritud trust (näiteks samale jurisdiktsioonile), ja märkima ära trusti haldaja dokumenteeritud trusti, kellega seoses ta aruandluse ja hoolsusmeetmetega seotud kohustusi täidab. See mittearuandekohustusliku finantsasutuse kategooria võib kehtida ka õiguslikule moodustisele, mis on samaväärne trustiga või mis sarnaneb trustile, näiteks fideikomiss.</w:t>
      </w:r>
    </w:p>
    <w:p w:rsidR="00010DDB" w:rsidRPr="00E74148" w:rsidRDefault="00010DDB" w:rsidP="00E74148">
      <w:pPr>
        <w:pStyle w:val="Pealkiri3"/>
        <w:keepNext w:val="0"/>
        <w:widowControl w:val="0"/>
        <w:spacing w:after="100" w:afterAutospacing="1"/>
        <w:rPr>
          <w:sz w:val="24"/>
          <w:szCs w:val="24"/>
        </w:rPr>
      </w:pPr>
      <w:bookmarkStart w:id="210" w:name="_Toc420331854"/>
      <w:bookmarkStart w:id="211" w:name="_Toc420331923"/>
      <w:r>
        <w:rPr>
          <w:sz w:val="24"/>
        </w:rPr>
        <w:t>Lõige C – finantskonto</w:t>
      </w:r>
      <w:bookmarkEnd w:id="210"/>
      <w:bookmarkEnd w:id="211"/>
    </w:p>
    <w:p w:rsidR="00010DDB" w:rsidRPr="00E74148" w:rsidRDefault="00010DDB" w:rsidP="00E74148">
      <w:pPr>
        <w:pStyle w:val="Pealkiri4"/>
        <w:keepNext w:val="0"/>
        <w:widowControl w:val="0"/>
        <w:spacing w:after="100" w:afterAutospacing="1"/>
        <w:rPr>
          <w:sz w:val="24"/>
          <w:szCs w:val="24"/>
        </w:rPr>
      </w:pPr>
      <w:r>
        <w:rPr>
          <w:sz w:val="24"/>
        </w:rPr>
        <w:lastRenderedPageBreak/>
        <w:t>Lõike C punkt 1 – üldist</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 1 kohaselt tähendab finantskonto finantsasutuse peetavat kontot, sealhulgas</w:t>
      </w:r>
    </w:p>
    <w:p w:rsidR="00010DDB" w:rsidRPr="00E74148" w:rsidRDefault="00010DDB" w:rsidP="00E74148">
      <w:pPr>
        <w:pStyle w:val="Loenditpp"/>
        <w:widowControl w:val="0"/>
        <w:spacing w:after="100" w:afterAutospacing="1"/>
        <w:rPr>
          <w:sz w:val="24"/>
          <w:szCs w:val="24"/>
        </w:rPr>
      </w:pPr>
      <w:r>
        <w:rPr>
          <w:sz w:val="24"/>
        </w:rPr>
        <w:t>hoiusekontot,</w:t>
      </w:r>
    </w:p>
    <w:p w:rsidR="00010DDB" w:rsidRPr="00E74148" w:rsidRDefault="00010DDB" w:rsidP="00E74148">
      <w:pPr>
        <w:pStyle w:val="Loenditpp"/>
        <w:widowControl w:val="0"/>
        <w:spacing w:after="100" w:afterAutospacing="1"/>
        <w:rPr>
          <w:sz w:val="24"/>
          <w:szCs w:val="24"/>
        </w:rPr>
      </w:pPr>
      <w:r>
        <w:rPr>
          <w:sz w:val="24"/>
        </w:rPr>
        <w:t>hoidmiskontot,</w:t>
      </w:r>
    </w:p>
    <w:p w:rsidR="00010DDB" w:rsidRPr="00E74148" w:rsidRDefault="00010DDB" w:rsidP="00E74148">
      <w:pPr>
        <w:pStyle w:val="Loenditpp"/>
        <w:widowControl w:val="0"/>
        <w:spacing w:after="100" w:afterAutospacing="1"/>
        <w:rPr>
          <w:sz w:val="24"/>
          <w:szCs w:val="24"/>
        </w:rPr>
      </w:pPr>
      <w:r>
        <w:rPr>
          <w:sz w:val="24"/>
        </w:rPr>
        <w:t>teatud investeerimisettevõtetes hoitavat osalust või võlanõuet,</w:t>
      </w:r>
    </w:p>
    <w:p w:rsidR="00010DDB" w:rsidRPr="00E74148" w:rsidRDefault="00010DDB" w:rsidP="00E74148">
      <w:pPr>
        <w:pStyle w:val="Loenditpp"/>
        <w:widowControl w:val="0"/>
        <w:spacing w:after="100" w:afterAutospacing="1"/>
        <w:rPr>
          <w:sz w:val="24"/>
          <w:szCs w:val="24"/>
        </w:rPr>
      </w:pPr>
      <w:r>
        <w:rPr>
          <w:sz w:val="24"/>
        </w:rPr>
        <w:t>rahalise väärtusega kindlustuslepingut, ja</w:t>
      </w:r>
    </w:p>
    <w:p w:rsidR="00010DDB" w:rsidRPr="00E74148" w:rsidRDefault="00010DDB" w:rsidP="00E74148">
      <w:pPr>
        <w:pStyle w:val="Loenditpp"/>
        <w:widowControl w:val="0"/>
        <w:spacing w:after="100" w:afterAutospacing="1"/>
        <w:rPr>
          <w:sz w:val="24"/>
          <w:szCs w:val="24"/>
        </w:rPr>
      </w:pPr>
      <w:r>
        <w:rPr>
          <w:sz w:val="24"/>
        </w:rPr>
        <w:t>annuiteedilepingut.</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Finantskonto mõiste aga ei hõlma kontot, mis on välistatud konto, mistõttu ei kehti sellele hoolsusmeetmed, mida kohaldatakse finantskontode hulgast avaldatavate kontode tuvastamiseks (näiteks kontoomaniku kinnituse hankimine). Lisaks ei hõlma finantskonto mõiste teatud annuiteedilepinguid, mida on kirjeldatud lõike C punkti 1 alapunktis c – võõrandamatu eluaegne annuiteet, mis ei ole investeerimisriskiga ega edasilükatud väljamaksetega ning mida kasutatakse füüsilisele isikule pensioni või invaliidsushüvitise maksmiseks kontolt, mis on välistatud konto. Pension ja invaliidsushüvitis hõlmavad vastavalt pensioni ja surma korral makstavat hüvitist.</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Võõrandamatu eluaegne annuiteet, mis ei ole investeerimisriskiga ega edasilükatud väljamaksetega, on võõrandamatu annuiteedileping, mis (i) ei ole investeerimisriskiga annuiteedileping; (ii) ei ole edasilükatud väljamaksetega; ja (iii) on eluaegne annuiteedileping. Investeerimisriskiga annuiteedileping tähendab annuiteedilepingut, mille alusel hüvitisi või väljamakseid kohandatakse lepinguga seotud varade investeerimisest saadava tulu või varade turuväärtuse järgi. Edasilükkamatu annuiteet tähendab annuiteedilepingut, (i) mis ostetakse ühe maksega või annuiteedihüvitisega; ja (ii) mille alusel hakatakse hiljemalt ühe aasta möödudes lepingu ostupäevast tegema kord aastas või sagedamini sisuliselt võrdseid perioodilisi väljamakseid. Eluaegne annuiteedileping tähendab annuiteedilepingut, mille alusel tehakse väljamakseid ühe või mitme füüsilise isiku eluea jooksul.</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C punkti 1 alapunkti a kohaselt käsitatakse finantskontona investeerimisettevõttes hoitavat osalust või võlanõuet. Kuid osalus või võlanõue ettevõttes, mis on investeerimisettevõte üksnes selle tõttu, et see on investeerimisnõustaja või fondihaldur, ei ole finantskonto. Seega hõlmab osalus või võlanõue, mida üldjuhul loetakse finantskontoks, osalust või võlanõuet ettevõttes, (i) mis on professionaalselt juhitav investeerimisettevõte või (ii) mis tegutseb või reklaamib ennast kollektiivse investeerimisüksuse, avatud investeerimisfondi, börsil kaubeldava fondi, erakapitalifondi, riskifondi, riskikapitalifondi, finantsvõimendusega väljaostufondi või muu sarnase investeerimismehhanismina, mille asutamisel on peetud silmas finantsvarade investeerimise, reinvesteerimise või nendega kauplemise strateegiat.</w:t>
      </w:r>
    </w:p>
    <w:p w:rsidR="00987334"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Lõike C punkti 1 alapunkti b kohaselt käsitatakse osalust või võlanõuet finantsasutuses, mis ei ole lõike C punkti 1 alapunktis a kirjeldatud finantsasutus, finantskontona vaid juhul, kui see liik osalusi või võlanõudeid loodi selleks, et vältida I osa kohast aruandlust. Seega käsitatakse finantskontona osalust või võlanõuet hoidmisasutuses, hoiuseasutuses, investeerimisettevõttes, mis ei ole lõike C punkti 1 alapunktis a nimetatud investeerimisnõustaja või fondihaldur, või kindlaksmääratud kindlustusandjas, mis loodi aruandluse vältimiseks.</w:t>
      </w:r>
    </w:p>
    <w:p w:rsidR="00010DDB" w:rsidRPr="00987334"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87334">
        <w:rPr>
          <w:sz w:val="24"/>
          <w:szCs w:val="24"/>
        </w:rPr>
        <w:fldChar w:fldCharType="begin"/>
      </w:r>
      <w:r w:rsidR="00010DDB" w:rsidRPr="00987334">
        <w:rPr>
          <w:sz w:val="24"/>
          <w:szCs w:val="24"/>
        </w:rPr>
        <w:instrText>MACROBUTTON NUMBERING</w:instrText>
      </w:r>
      <w:r w:rsidRPr="00987334">
        <w:rPr>
          <w:sz w:val="24"/>
          <w:szCs w:val="24"/>
        </w:rPr>
        <w:fldChar w:fldCharType="end"/>
      </w:r>
      <w:r w:rsidR="00010DDB" w:rsidRPr="00987334">
        <w:rPr>
          <w:sz w:val="24"/>
        </w:rPr>
        <w:t>Üldiselt loetakse, et kontot peetakse finantsasutuses järgmiselt:</w:t>
      </w:r>
    </w:p>
    <w:p w:rsidR="00010DDB" w:rsidRPr="00E74148" w:rsidRDefault="00010DDB" w:rsidP="00E74148">
      <w:pPr>
        <w:pStyle w:val="Loenditpp"/>
        <w:widowControl w:val="0"/>
        <w:spacing w:after="100" w:afterAutospacing="1"/>
        <w:rPr>
          <w:sz w:val="24"/>
          <w:szCs w:val="24"/>
        </w:rPr>
      </w:pPr>
      <w:r>
        <w:rPr>
          <w:sz w:val="24"/>
        </w:rPr>
        <w:lastRenderedPageBreak/>
        <w:t>hoidmiskonto korral peetakse kontot finantsasutuses, mis hoiab kontol olevaid varasid (sealhulgas finantsasutus, mis hoiab kontoomaniku varasid registreerituna selle asutuse nimele);</w:t>
      </w:r>
    </w:p>
    <w:p w:rsidR="00010DDB" w:rsidRPr="00E74148" w:rsidRDefault="00010DDB" w:rsidP="00E74148">
      <w:pPr>
        <w:pStyle w:val="Loenditpp"/>
        <w:widowControl w:val="0"/>
        <w:spacing w:after="100" w:afterAutospacing="1"/>
        <w:rPr>
          <w:sz w:val="24"/>
          <w:szCs w:val="24"/>
        </w:rPr>
      </w:pPr>
      <w:r>
        <w:rPr>
          <w:sz w:val="24"/>
        </w:rPr>
        <w:t>hoiusekonto korral peetakse kontot finantsasutuses, mis on kohustatud tegema kontoga seotud väljamakseid (välja arvatud finantsasutuse agent olenemata sellest, kas see agent on finantsasutus või mitte);</w:t>
      </w:r>
    </w:p>
    <w:p w:rsidR="00010DDB" w:rsidRPr="00E74148" w:rsidRDefault="00010DDB" w:rsidP="00E74148">
      <w:pPr>
        <w:pStyle w:val="Loenditpp"/>
        <w:widowControl w:val="0"/>
        <w:spacing w:after="100" w:afterAutospacing="1"/>
        <w:rPr>
          <w:sz w:val="24"/>
          <w:szCs w:val="24"/>
        </w:rPr>
      </w:pPr>
      <w:r>
        <w:rPr>
          <w:sz w:val="24"/>
        </w:rPr>
        <w:t>finantsasutuses hoitava osaluse või võlanõude, mis on finantskonto, korral peetakse kontot selles finantsasutuses;</w:t>
      </w:r>
    </w:p>
    <w:p w:rsidR="00010DDB" w:rsidRPr="00E74148" w:rsidRDefault="00010DDB" w:rsidP="00E74148">
      <w:pPr>
        <w:pStyle w:val="Loenditpp"/>
        <w:widowControl w:val="0"/>
        <w:spacing w:after="100" w:afterAutospacing="1"/>
        <w:rPr>
          <w:sz w:val="24"/>
          <w:szCs w:val="24"/>
        </w:rPr>
      </w:pPr>
      <w:r>
        <w:rPr>
          <w:sz w:val="24"/>
        </w:rPr>
        <w:t>rahalise väärtusega kindlustuslepingu ja annuiteedilepingu korral peetakse kontot finantsasutuses, mis on kohustatud tegema lepinguga seotud väljamakseid.</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Kuid jurisdiktsioonidel on erinevad õigus-, haldus- ja tegevusraamistikud ning finantssüsteemid ja konto pidamise tähendus võib olla jurisdiktsiooniti erinev olenevalt sellest, kuidas konkreetne finantstööstus on struktureeritud. Mõnel juhul ei pruugi aruandekohustuslikul finantsasutusel olla konto kohta esitamisele kuuluvat teavet, mistõttu võivad vajalikud olla riigisisesed juhised. Selliste juhiste kehtestamisel peab hoolikalt käsitlema vastuolusid, mis võivad piiriülestel juhtudel tõusetuda, eelkõige seoses jurisdiktsioonidega, mis ei ole osalevad jurisdiktsioonid, või finantsasutustega, mis ei ole osaleva jurisdiktsiooni finantsasutused, et juhised ei läheks vastuollu ühtse aruandluse standardiga (vt IX osa kommentaaride punkti 5).</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Näiteks võib mõnes osalevas jurisdiktsioonis väärtpabereid hoida omaniku nimele registreeritud kontol, mida haldab väärtpaberite keskhoidla ja mida opereerivad teised finantsasutused. Põhimõtteliselt käsitataks väärtpaberite keskhoidlat seoses kontodega aruandekohustusliku finantsasutusena, mis vastutab kõikide hoolsusmeetmete ja aruandlusega seotud kohustuste täitmise eest. Kuid kuna kliendisuhteid haldab ja hoolsusmeetmeid kasutab teine finantsasutus konto operaatorina, ei saa väärtpaberite keskhoidla selliseid kohustusi täita. Osalevad jurisdiktsioonid võivad olukorra lahendada näiteks nii, et käsitavad asjaomast hoiusekontot selle teise finantsasutuse peetava kontona ja seda teist finantsasutust vastutavana sellise hoiusekontoga seotud aruandluse eest. Kuid kui asjaomast hoiusekontot käsitatakse selle teise finantsasutuse peetava kontona, siis II osa lõike D kohaselt võib väärtpaberite keskhoidla esitada aruande selle teise finantsasutuse eest.</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Sarnane olukord võib esile kerkida mõnes osalevas jurisdiktsioonis, kus börsil kaubeldava fondi aktsiaosalusega kauplevad ja hoolsusmeetmeid rakendavad maaklerid, kuid fondi osalusregistris on registreeritud lõppinvestorid. Põhimõtteliselt käsitataks seda fondi seoses aktsiaosalusega aruandekohustusliku finantsasutusena, kuid tal ei oleks aruandlusega seotud kohustuste täitmiseks vajalikku teavet. Osalevad jurisdiktsioonid võivad olukorra lahendada näiteks nii, et nõuavad maakleritelt kogu vajaliku teabe esitamist fondile, et viimane saaks täita oma aruandlusega seotud kohustused.</w:t>
      </w:r>
    </w:p>
    <w:p w:rsidR="00010DDB" w:rsidRPr="00E74148" w:rsidRDefault="00010DDB" w:rsidP="00E74148">
      <w:pPr>
        <w:pStyle w:val="Pealkiri4"/>
        <w:keepNext w:val="0"/>
        <w:widowControl w:val="0"/>
        <w:spacing w:after="100" w:afterAutospacing="1"/>
        <w:rPr>
          <w:sz w:val="24"/>
          <w:szCs w:val="24"/>
        </w:rPr>
      </w:pPr>
      <w:r>
        <w:rPr>
          <w:sz w:val="24"/>
        </w:rPr>
        <w:t>Lõike C punkt 2 – hoiusekonto</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2 kohaselt tähendab hoiusekonto iga äri-, tšeki-, säästu-, tähtajalist või sissemakse kontot või muud kontot, mida kinnitab hoiuse, sissemakse või investeeringu kohta antud tunnistus, võlakiri või muu sarnane instrument, mida finantsasutus väljastab tavapärase panganduse või muu sarnase äritegevuse käigus. Hoiusekonto hõlmab ka kindlustusandja poolt garanteeritud kindlustuslepingu või muu sarnase lepingu alusel hoitavat summat, millelt makstakse või arvestatakse intressi.</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 xml:space="preserve">Üldjuhul käsitatakse hoiusekontona kontot, mida kinnitab hoiuraamat. Nagu on </w:t>
      </w:r>
      <w:r w:rsidR="00010DDB" w:rsidRPr="00FB7752">
        <w:rPr>
          <w:sz w:val="24"/>
        </w:rPr>
        <w:lastRenderedPageBreak/>
        <w:t>mainitud eespool punktis 25, ei loeta võõrandatavaid võlainstrumente, millega kaubeldakse reguleeritaval turul või vabavahetusturul ning mida levitatakse ja hoitakse finantsasutuste kaudu, üldjuhul hoiusekontodeks, vaid finantsvaradeks.</w:t>
      </w:r>
    </w:p>
    <w:p w:rsidR="00010DDB" w:rsidRPr="00E74148" w:rsidRDefault="00010DDB" w:rsidP="00E74148">
      <w:pPr>
        <w:pStyle w:val="Pealkiri4"/>
        <w:keepNext w:val="0"/>
        <w:widowControl w:val="0"/>
        <w:spacing w:after="100" w:afterAutospacing="1"/>
        <w:rPr>
          <w:sz w:val="24"/>
          <w:szCs w:val="24"/>
        </w:rPr>
      </w:pPr>
      <w:r>
        <w:rPr>
          <w:sz w:val="24"/>
        </w:rPr>
        <w:t>Lõike C punkt 3 – hoidmiskonto</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 3 kohaselt tähendab hoidmiskonto kontot (mis ei ole kindlustusleping ega annuiteedileping), millel hoitakse teise isiku kasuks üht või mitut finantsvara.</w:t>
      </w:r>
    </w:p>
    <w:p w:rsidR="00010DDB" w:rsidRPr="00E74148" w:rsidRDefault="00010DDB" w:rsidP="00E74148">
      <w:pPr>
        <w:pStyle w:val="Pealkiri4"/>
        <w:keepNext w:val="0"/>
        <w:widowControl w:val="0"/>
        <w:spacing w:after="100" w:afterAutospacing="1"/>
        <w:rPr>
          <w:sz w:val="24"/>
          <w:szCs w:val="24"/>
        </w:rPr>
      </w:pPr>
      <w:r>
        <w:rPr>
          <w:sz w:val="24"/>
        </w:rPr>
        <w:t>Lõike C punkt 4 – osalus</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Osaluse mõiste käsitleb konkreetselt osalust partnerlustes ja trustides. Finantsasutusest partnerluse korral tähendab osalus kas osalust partnerluse kapitalis või õigust partnerluse kasumile. Finantsasutusest trusti korral tähendab osalus selle isiku, keda käsitatakse kogu trusti või selle osa asutaja või tulusaajana, osalust, või muud füüsilist isikut, kellel on trusti üle lõplik tegelik kontroll. Põhimõte, mis kehtib finantsasutusest trusti korral, kehtib ka õiguslikule moodustisele, mis on trustiga samaväärne või mis sarnaneb trustile, või finantsasutusest sihtasutusele.</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4 alusel käsitatakse avaldatavat isikut trusti tulusaajana, kui sellel avaldataval isikul on õigus saada otse või kaudselt (näiteks esindaja kaudu) trustist kohustuslikus korras tehtavaid väljamakseid või kui tal on õigus otse või kaudselt saada trustist valikuliselt tehtavaid väljamakseid. Selles tähenduses käsitatakse tulusaajat, kellel on õigus saada trustist valikuliselt tehtavaid väljamakseid, trusti tulusaajana vaid juhul, kui see isik saab väljamakse kalendriaasta või muu asjakohase aruandlusperioodi jooksul (väljamakse on kas tehtud või suunatud maksmisele). Sama kehtib ka avaldatava isiku käsitamisele õigusliku moodustise, mis on samaväärne trustiga või mis sarnaneb trustile, või sihtasutuse tulusaajana.</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Kui osalust hoitakse hoidmisasutuse kaudu, vastutab aruandluse eest hoidmisasutus, mitte investeerimisettevõte. Järgmine näide illustreerib, kuidas selline aruandlus peab toimuma. Avaldataval isikul A on investeerimisfondi L osakuid. A osakuid hoiab kontohaldur Y. Investeerimisfond L on investeerimisettevõte, mille seisukohast on tema osakud finantskontod (osalus investeerimisettevõttes). L peab käsitama kontohaldurit Y-it kontoomanikuna. Kuna Y on finantsasutus (hoidmisasutus) ja finantsasutused ei ole avaldatavad isikud, ei pea investeerimisfond L neid osakuid avaldama. Kontohalduri Y jaoks on A eest hoitavad osakud hoidmiskontol hoitavad finantsvarad. Hoidmisasutusena vastutab Y A eest hoitavate osakute avaldamise eest.</w:t>
      </w:r>
    </w:p>
    <w:p w:rsidR="00010DDB" w:rsidRPr="00E74148" w:rsidRDefault="00010DDB" w:rsidP="00E74148">
      <w:pPr>
        <w:pStyle w:val="Pealkiri4"/>
        <w:keepNext w:val="0"/>
        <w:widowControl w:val="0"/>
        <w:spacing w:after="100" w:afterAutospacing="1"/>
        <w:rPr>
          <w:sz w:val="24"/>
          <w:szCs w:val="24"/>
        </w:rPr>
      </w:pPr>
      <w:r>
        <w:rPr>
          <w:sz w:val="24"/>
        </w:rPr>
        <w:t>Lõike C punktid 5 kuni 8 – kindlustus- ja annuiteedilepingud</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punktid 5 kuni 8 sisaldavad kindlustustoodetega seotud erinevaid mõisteid: kindlustusleping, annuiteedileping, rahalise väärtusega kindlustusleping ja rahaline väärtus. Kindlustuslepingu ja rahalise väärtuse mõisted on vajalikud rahalise väärtusega kindlustuslepingu ulatuse määratlemiseks, aga vaid leping, mis on rahalise väärtusega kindlustusleping või annuiteedileping saab olla finantskonto.</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 xml:space="preserve">Lõike C punkti 6 kohaselt tähendab annuiteedileping lepingut, mille alusel kohustub kindlustusandja tegema väljamakseid perioodi jooksul, mis on tervenisti või osaliselt kindlaks määratud ühe või mitme isiku eeldatavast elueast lähtudes. Mõiste hõlmab ka lepingut, mida peetakse annuiteedilepinguks kooskõlas selle jurisdiktsiooni, kus leping sõlmiti, seaduste, </w:t>
      </w:r>
      <w:r w:rsidR="00010DDB" w:rsidRPr="00FB7752">
        <w:rPr>
          <w:sz w:val="24"/>
        </w:rPr>
        <w:lastRenderedPageBreak/>
        <w:t>määruste või kohtupraktikaga ning mille alusel nõustub kindlustusandja tegema aastate jooksul väljamakseid.</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5 kohaselt tähendab kindlustusleping lepingut (mis ei ole annuiteedileping), mille alusel kohustub kindlustusandja maksma rahasumma, kui saabub kindlustusjuhtum, mis võib olla surm, haigestumine, õnnetusjuhtum, vastutuse tekkimine või varaline kahju. Lõike C punktis 7 määratletud rahalise väärtusega kindlustusleping tähendab kindlustuslepingut (mis ei ole kahe kindlustusandja vahel sõlmitud kahjukindlustuse edasikindlustusleping), millel on rahaline väärtus.</w:t>
      </w:r>
    </w:p>
    <w:p w:rsidR="00A477F7"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8 kohaselt tähendab rahaline väärtus suuremat kahest järgmisest: (i) tagastusväärtus, millele kindlustusvõtjal on õigus lepingu ülesütlemisel või lõpetamisel (millest ei ole maha arvatud ülesütlemistasu ega laenu, mis on tagastusväärtuse vastu võetud); ja (ii) summa, mida kindlustusvõtja võib laenata lepingu alusel või sellest lähtudes (näiteks tagatiseks pantima). Kuid rahalise väärtuse mõiste ei hõlma kindlustuslepingu alusel välja makstavat summat, mis</w:t>
      </w:r>
    </w:p>
    <w:p w:rsidR="00010DDB" w:rsidRPr="00E74148" w:rsidRDefault="00010DDB" w:rsidP="005C33A2">
      <w:pPr>
        <w:pStyle w:val="Loendinumber"/>
        <w:widowControl w:val="0"/>
        <w:numPr>
          <w:ilvl w:val="0"/>
          <w:numId w:val="40"/>
        </w:numPr>
        <w:spacing w:after="100" w:afterAutospacing="1"/>
        <w:rPr>
          <w:sz w:val="24"/>
          <w:szCs w:val="24"/>
        </w:rPr>
      </w:pPr>
      <w:r>
        <w:rPr>
          <w:sz w:val="24"/>
        </w:rPr>
        <w:t>maksti ainult elukindlustuslepingu alusel kindlustatud isiku surma tõttu;</w:t>
      </w:r>
    </w:p>
    <w:p w:rsidR="00010DDB" w:rsidRPr="00E74148" w:rsidRDefault="00010DDB" w:rsidP="005C33A2">
      <w:pPr>
        <w:pStyle w:val="Loendinumber"/>
        <w:widowControl w:val="0"/>
        <w:numPr>
          <w:ilvl w:val="0"/>
          <w:numId w:val="40"/>
        </w:numPr>
        <w:spacing w:after="100" w:afterAutospacing="1"/>
        <w:rPr>
          <w:sz w:val="24"/>
          <w:szCs w:val="24"/>
        </w:rPr>
      </w:pPr>
      <w:r>
        <w:rPr>
          <w:sz w:val="24"/>
        </w:rPr>
        <w:t>on tervisekahjustuse või haiguskindlustuse hüvitis või muu hüvitis, mis katab kindlustusjuhtumi saabumisel tekkinud majandusliku kahju;</w:t>
      </w:r>
    </w:p>
    <w:p w:rsidR="00010DDB" w:rsidRPr="00E74148" w:rsidRDefault="00010DDB" w:rsidP="005C33A2">
      <w:pPr>
        <w:pStyle w:val="Loendinumber"/>
        <w:widowControl w:val="0"/>
        <w:numPr>
          <w:ilvl w:val="0"/>
          <w:numId w:val="40"/>
        </w:numPr>
        <w:spacing w:after="100" w:afterAutospacing="1"/>
        <w:rPr>
          <w:sz w:val="24"/>
          <w:szCs w:val="24"/>
        </w:rPr>
      </w:pPr>
      <w:r>
        <w:rPr>
          <w:sz w:val="24"/>
        </w:rPr>
        <w:t>maksti varem makstud kindlustusmakse tagasimaksena (millest on maha arvatud kindlustustasud olenemata sellest, kas neid tegelikult rakendati) kindlustuslepingu (mis ei ole investeerimisriskiga elukindlustus- või annuiteedileping) alusel lepingu ülesütlemise või lõppemise tõttu, riski alanemise tõttu lepingu kehtivuse jooksul või tulenevalt kindlustusmakse ümberhindamisest kirjendamisvea või muu sarnase vea parandamise tõttu;</w:t>
      </w:r>
    </w:p>
    <w:p w:rsidR="00010DDB" w:rsidRPr="00E74148" w:rsidRDefault="00010DDB" w:rsidP="005C33A2">
      <w:pPr>
        <w:pStyle w:val="Loendinumber"/>
        <w:widowControl w:val="0"/>
        <w:numPr>
          <w:ilvl w:val="0"/>
          <w:numId w:val="40"/>
        </w:numPr>
        <w:spacing w:after="100" w:afterAutospacing="1"/>
        <w:rPr>
          <w:sz w:val="24"/>
          <w:szCs w:val="24"/>
        </w:rPr>
      </w:pPr>
      <w:r>
        <w:rPr>
          <w:sz w:val="24"/>
        </w:rPr>
        <w:t>on kindlustusvõtja dividend (välja arvatud lepingu lõpetamisel makstav dividend), tingimusel et dividend on seotud kindlustuslepinguga, mille kohaselt on ainsad makstavad hüvitised need, mida kirjeldatakse lõike C punkti 8 alapunktis b; või</w:t>
      </w:r>
    </w:p>
    <w:p w:rsidR="00010DDB" w:rsidRPr="00E74148" w:rsidRDefault="00010DDB" w:rsidP="005C33A2">
      <w:pPr>
        <w:pStyle w:val="Loendinumber"/>
        <w:widowControl w:val="0"/>
        <w:numPr>
          <w:ilvl w:val="0"/>
          <w:numId w:val="40"/>
        </w:numPr>
        <w:spacing w:after="100" w:afterAutospacing="1"/>
        <w:rPr>
          <w:sz w:val="24"/>
          <w:szCs w:val="24"/>
        </w:rPr>
      </w:pPr>
      <w:r>
        <w:rPr>
          <w:sz w:val="24"/>
        </w:rPr>
        <w:t>on sellise kindlustuslepingu kindlustusmakse ettemakse või deposiidi tagastus, mille kindlustusmakseid tasutakse vähemalt kord aastas ja ettemakse või deposiidi summa ei ületa lepingu alusel tasumisele kuuluva järgmise kindlustusmakse suurust.</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8 alapunkt b välistab rahalise väärtuse mõistest summa, mida makstakse kindlustuslepingu alusel tervisekahjustuse või haiguskindlustuse hüvitise või muu hüvitisena, mis katab kindlustusjuhtumi saabumisel tekkinud majandusliku kahju. Selline muu hüvitis ei hõlma investeerimisriskiga kindlustuslepingu alusel makstavat hüvitist. Investeerimisriskiga kindlustusleping tähendab kindlustuslepingut, mille alusel hüvitisi, väljamakseid või kindlustuskaitse kehtivusaega kohandatakse lepinguga seotud varade investeerimisest saadava tulu või varade turuväärtuse järgi.</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 8 alapunktides a ja c kirjeldatud välistused on summad, mida makstakse seoses investeerimisriskiga elukindlustuslepinguga ja lõike C punkti 8 alapunkti c alusel seoses investeerimisriskiga eluaegse annuiteedilepinguga. Investeerimisriskiga elukindlustusleping on kindlustusleping, mis on (i) investeerimisriskiga kindlustusleping (vt punkti 76 eespool) ja (ii) elukindlustusleping (vt punkti 78 allpool). Investeerimisriskiga eluaegne annuiteedileping on annuiteedileping, mis on (i) investeerimisriskiga annuiteedileping ja (ii) eluaegne annuiteedileping (vt punkti 59 eespool).</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 xml:space="preserve">Elukindlustusleping on kindlustusleping, mille alusel kohustub kindlustusandja vastutasuna maksma summa ühe või mitme isiku surma tõttu. See, et lepingus nähakse lisaks </w:t>
      </w:r>
      <w:r w:rsidR="00010DDB" w:rsidRPr="00FB7752">
        <w:rPr>
          <w:sz w:val="24"/>
        </w:rPr>
        <w:lastRenderedPageBreak/>
        <w:t>surma korral makstavale hüvitisele ette üks või mitu väljamakset (näiteks toetus või invaliidsushüvitis), ei tähenda, et leping on midagi muud kui elukindlustusleping.</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Kindlustusvõtja dividend, mis täidab kõiki lõike C punkti 8 alapunktis d kirjeldatud nõudeid, ei ole rahalise väärtuse mõistega hõlmatud. Kindlustusvõtja dividend on dividend või sarnane väljamakse kindlustusvõtjatele, sealhulgas</w:t>
      </w:r>
    </w:p>
    <w:p w:rsidR="00010DDB" w:rsidRPr="00E74148" w:rsidRDefault="00010DDB" w:rsidP="005C33A2">
      <w:pPr>
        <w:pStyle w:val="Loendinumber"/>
        <w:widowControl w:val="0"/>
        <w:numPr>
          <w:ilvl w:val="0"/>
          <w:numId w:val="41"/>
        </w:numPr>
        <w:spacing w:after="100" w:afterAutospacing="1"/>
        <w:rPr>
          <w:sz w:val="24"/>
          <w:szCs w:val="24"/>
        </w:rPr>
      </w:pPr>
      <w:r>
        <w:rPr>
          <w:sz w:val="24"/>
        </w:rPr>
        <w:t>makstud või krediteeritud summa (sealhulgas hüvitise suurenemisena), kui summa ei ole lepingus kindlaks määratud, vaid sõltub pigem kindlustusseltsi kogemusest või juhatuse äranägemisest;</w:t>
      </w:r>
    </w:p>
    <w:p w:rsidR="00010DDB" w:rsidRPr="00E74148" w:rsidRDefault="00010DDB" w:rsidP="005C33A2">
      <w:pPr>
        <w:pStyle w:val="Loendinumber"/>
        <w:widowControl w:val="0"/>
        <w:numPr>
          <w:ilvl w:val="0"/>
          <w:numId w:val="41"/>
        </w:numPr>
        <w:spacing w:after="100" w:afterAutospacing="1"/>
        <w:rPr>
          <w:sz w:val="24"/>
          <w:szCs w:val="24"/>
        </w:rPr>
      </w:pPr>
      <w:r>
        <w:rPr>
          <w:sz w:val="24"/>
        </w:rPr>
        <w:t>kindlustusmakse vähenemine, mis oleks tulnud maksta, kui vähenemist ei oleks olnud; ja</w:t>
      </w:r>
    </w:p>
    <w:p w:rsidR="00010DDB" w:rsidRPr="00E74148" w:rsidRDefault="00010DDB" w:rsidP="005C33A2">
      <w:pPr>
        <w:pStyle w:val="Loendinumber"/>
        <w:widowControl w:val="0"/>
        <w:numPr>
          <w:ilvl w:val="0"/>
          <w:numId w:val="41"/>
        </w:numPr>
        <w:spacing w:after="100" w:afterAutospacing="1"/>
        <w:rPr>
          <w:sz w:val="24"/>
          <w:szCs w:val="24"/>
        </w:rPr>
      </w:pPr>
      <w:r>
        <w:rPr>
          <w:sz w:val="24"/>
        </w:rPr>
        <w:t>kogemusel põhinev tagasimakse või krediit, mis põhineb üksnes asjaomase lepingu või grupi kogemusel nõuetega.</w:t>
      </w:r>
    </w:p>
    <w:p w:rsidR="00010DDB" w:rsidRPr="00E74148" w:rsidRDefault="00010DDB" w:rsidP="00E74148">
      <w:pPr>
        <w:pStyle w:val="Kehatekst"/>
        <w:widowControl w:val="0"/>
        <w:spacing w:after="100" w:afterAutospacing="1"/>
        <w:rPr>
          <w:sz w:val="24"/>
          <w:szCs w:val="24"/>
        </w:rPr>
      </w:pPr>
      <w:r>
        <w:rPr>
          <w:sz w:val="24"/>
        </w:rPr>
        <w:t>Kindlustusvõtja dividend ei saa ületada lepingu eest varem makstud kindlustusmakseid, millest on maha arvatud kindlustuse maksumus ja kulud (olenemata sellest, kas neid ka tegelikult rakendati) lepingu kehtivuse perioodil ja seoses lepinguga varem makstud või krediteeritud dividendide kogusumma.</w:t>
      </w:r>
    </w:p>
    <w:p w:rsidR="00010DDB" w:rsidRPr="00E74148" w:rsidRDefault="00010DDB" w:rsidP="00E74148">
      <w:pPr>
        <w:pStyle w:val="Kehatekst"/>
        <w:widowControl w:val="0"/>
        <w:spacing w:after="100" w:afterAutospacing="1"/>
        <w:rPr>
          <w:sz w:val="24"/>
          <w:szCs w:val="24"/>
        </w:rPr>
      </w:pPr>
      <w:r>
        <w:rPr>
          <w:sz w:val="24"/>
        </w:rPr>
        <w:t>Kindlustusvõtja dividend ei hõlma summat, mis on olemuselt intress, mis on lepingu sõlmijale makstud või krediteeritud niivõrd, kuivõrd see summa ületab minimaalset intressimäära, mis on kohalike seaduste alusel lepingu maksumusega seoses vaja krediteerida.</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Mikrokindlustulepinguid, millel puudub rahaline väärtus (sealhulgas, mille rahaline väärtus võrdub nulliga), ei loeta rahalise väärtusega kindlustuslepinguteks. Kindlustusinvesteerimistooteid, näiteks erainvesteeringuga elukindlustuslepinguid, peetakse üldjuhul rahalise väärtusega kindlustuslepinguteks. Kindlustusinvesteerimistoode hõlmab kindlustuslepingut, mille varasid (i) hoitakse finantsasutuse hallataval kontol, ja (ii) hallatakse kooskõlas isikustatud investeerimisstrateegiaga või kindlustusvõtja või lepingu sõlmija või tulusaaja kontrolli või mõjuvõimu all.</w:t>
      </w:r>
    </w:p>
    <w:p w:rsidR="00010DDB" w:rsidRPr="00E74148" w:rsidRDefault="00010DDB" w:rsidP="00E74148">
      <w:pPr>
        <w:pStyle w:val="Pealkiri4"/>
        <w:keepNext w:val="0"/>
        <w:widowControl w:val="0"/>
        <w:spacing w:after="100" w:afterAutospacing="1"/>
        <w:rPr>
          <w:sz w:val="24"/>
          <w:szCs w:val="24"/>
        </w:rPr>
      </w:pPr>
      <w:r>
        <w:rPr>
          <w:sz w:val="24"/>
        </w:rPr>
        <w:t>Lõike C punktid 9 kuni 16 – olemasolevad ja uued ning füüsilise isiku ja ettevõtte kontod</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punktid 9 kuni 16 sisaldavad finantskontode erinevaid kategooriaid, mida klassifitseeritakse konto avamise kuupäeva, kontoomaniku ja kontojäägi või väärtuse alusel: olemasolev konto, uus konto, füüsilise isiku olemasolev konto, füüsilise isiku uus konto, ettevõtte olemasolev konto, madalama väärtusega konto, kõrgema väärtusega konto ja ettevõtte uus konto.</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Kõigepealt klassifitseeritakse finantskontot selle avamise kuupäeva alusel. Seega võib finantskonto olla kas olemasolev konto või uus konto. Lõike C punktides 9 ja 10 määratletakse neid mõisteid vastavalt kui aruandekohustusliku finantsasutuse hallatavat finantskontot seisuga [xx/xx/xxxx] ja aruandekohustusliku finantsasutuse hallatavat finantskontot, mis avati [xx/xx/xxxx] või pärast seda kuupäeva. Kuid ühtse aruandluse standardi rakendamisel võivad jurisdiktsioonid lõike C punkti 9 vabalt muuta, lisades sinna ka olemasolevate klientide teatud uued kontod. Sellisel juhul tuleks lõike C punkt 9 asendada järgmise sõnastusega:</w:t>
      </w:r>
    </w:p>
    <w:p w:rsidR="00010DDB" w:rsidRPr="00E74148" w:rsidRDefault="00010DDB" w:rsidP="00E74148">
      <w:pPr>
        <w:pStyle w:val="Kehatekst"/>
        <w:widowControl w:val="0"/>
        <w:spacing w:after="100" w:afterAutospacing="1"/>
        <w:rPr>
          <w:i/>
          <w:sz w:val="24"/>
          <w:szCs w:val="24"/>
        </w:rPr>
      </w:pPr>
      <w:r>
        <w:rPr>
          <w:i/>
          <w:sz w:val="24"/>
        </w:rPr>
        <w:t>9. Olemasolev konto tähendab</w:t>
      </w:r>
    </w:p>
    <w:p w:rsidR="00010DDB" w:rsidRPr="00E74148" w:rsidRDefault="00010DDB" w:rsidP="00E74148">
      <w:pPr>
        <w:pStyle w:val="Kehatekst"/>
        <w:widowControl w:val="0"/>
        <w:spacing w:after="100" w:afterAutospacing="1"/>
        <w:rPr>
          <w:i/>
          <w:sz w:val="24"/>
          <w:szCs w:val="24"/>
        </w:rPr>
      </w:pPr>
      <w:r>
        <w:rPr>
          <w:i/>
          <w:sz w:val="24"/>
        </w:rPr>
        <w:lastRenderedPageBreak/>
        <w:t>a) aruandekohustusliku finantsasutuse hallatavat finantskontot seisuga [xx/xx/xxxx];</w:t>
      </w:r>
    </w:p>
    <w:p w:rsidR="00010DDB" w:rsidRPr="00E74148" w:rsidRDefault="00010DDB" w:rsidP="00E74148">
      <w:pPr>
        <w:pStyle w:val="Kehatekst"/>
        <w:widowControl w:val="0"/>
        <w:spacing w:after="100" w:afterAutospacing="1"/>
        <w:rPr>
          <w:i/>
          <w:sz w:val="24"/>
          <w:szCs w:val="24"/>
        </w:rPr>
      </w:pPr>
      <w:r>
        <w:rPr>
          <w:i/>
          <w:sz w:val="24"/>
        </w:rPr>
        <w:t>b) kontoomaniku mis tahes finantskontot, olenemata selle konto avamise kuupäevast, kui</w:t>
      </w:r>
    </w:p>
    <w:p w:rsidR="00010DDB" w:rsidRPr="00E74148" w:rsidRDefault="00010DDB" w:rsidP="00E74148">
      <w:pPr>
        <w:pStyle w:val="Kehatekst"/>
        <w:widowControl w:val="0"/>
        <w:spacing w:after="100" w:afterAutospacing="1"/>
        <w:rPr>
          <w:i/>
          <w:sz w:val="24"/>
          <w:szCs w:val="24"/>
        </w:rPr>
      </w:pPr>
      <w:r>
        <w:rPr>
          <w:i/>
          <w:sz w:val="24"/>
        </w:rPr>
        <w:t>i. kontoomanikul on aruandekohustuslikus finantsasutuses (või aruandekohustusliku finantsasutusega samas jurisdiktsioonis olevas seotud ettevõttes) finantskonto, mis on lõike C punkti 9 alapunkti a alusel olemasolev konto;</w:t>
      </w:r>
    </w:p>
    <w:p w:rsidR="00010DDB" w:rsidRPr="00E74148" w:rsidRDefault="00010DDB" w:rsidP="00E74148">
      <w:pPr>
        <w:pStyle w:val="Kehatekst"/>
        <w:widowControl w:val="0"/>
        <w:spacing w:after="100" w:afterAutospacing="1"/>
        <w:rPr>
          <w:i/>
          <w:sz w:val="24"/>
          <w:szCs w:val="24"/>
        </w:rPr>
      </w:pPr>
      <w:r>
        <w:rPr>
          <w:i/>
          <w:sz w:val="24"/>
        </w:rPr>
        <w:t>ii. aruandekohustuslik finantsasutus (ja vastavalt olukorrale aruandekohustusliku finantsasutusega samas jurisdiktsioonis olev seotud ettevõte) käsitab mõlemaid mainitud finantskontosid ja kontoomaniku muid võimalikke finantskontosid, mida käsitatakse lõike C punkti 9 alapunkti b alusel olemasolevate kontodena, ühe finantskontona, et täita VII osa lõikes A ette nähtud teadmisstandardi nõuded ja et teha konto piirmäära kohaldamisel kindlaks mis tahes sellise finantskonto jääk või väärtus;</w:t>
      </w:r>
    </w:p>
    <w:p w:rsidR="00010DDB" w:rsidRPr="00E74148" w:rsidRDefault="00010DDB" w:rsidP="00E74148">
      <w:pPr>
        <w:pStyle w:val="Kehatekst"/>
        <w:widowControl w:val="0"/>
        <w:spacing w:after="100" w:afterAutospacing="1"/>
        <w:rPr>
          <w:i/>
          <w:sz w:val="24"/>
          <w:szCs w:val="24"/>
        </w:rPr>
      </w:pPr>
      <w:r>
        <w:rPr>
          <w:i/>
          <w:sz w:val="24"/>
        </w:rPr>
        <w:t>iii. seoses finantskontoga, millele kohaldatakse rahapesu tõkestamise / klienditundmise põhimõtet, võib aruandekohustuslik finantsasutus järgida finantskonto puhul rahapesu tõkestamise / klienditundmise põhimõtet selliselt, et tugineb lõike C punkti 9 alapunktis a kirjeldatud olemasoleva kontoga seoses järgitud rahapesu tõkestamise / klienditundmise põhimõttele; ja</w:t>
      </w:r>
    </w:p>
    <w:p w:rsidR="00010DDB" w:rsidRPr="00E74148" w:rsidRDefault="00010DDB" w:rsidP="00E74148">
      <w:pPr>
        <w:pStyle w:val="Kehatekst"/>
        <w:widowControl w:val="0"/>
        <w:spacing w:after="100" w:afterAutospacing="1"/>
        <w:rPr>
          <w:i/>
          <w:sz w:val="24"/>
          <w:szCs w:val="24"/>
        </w:rPr>
      </w:pPr>
      <w:r>
        <w:rPr>
          <w:i/>
          <w:sz w:val="24"/>
        </w:rPr>
        <w:t>iv. finantskonto avamiseks ei pea kontoomanik esitama uut, lisa- ega parandatud teavet kliendi kohta, välja arvatud ühtse aruandluse standardi rakendamiseks.</w:t>
      </w:r>
    </w:p>
    <w:p w:rsidR="00010DDB" w:rsidRPr="00E74148" w:rsidRDefault="00010DDB" w:rsidP="00E74148">
      <w:pPr>
        <w:pStyle w:val="Kehatekst"/>
        <w:widowControl w:val="0"/>
        <w:spacing w:after="100" w:afterAutospacing="1"/>
        <w:rPr>
          <w:sz w:val="24"/>
          <w:szCs w:val="24"/>
        </w:rPr>
      </w:pPr>
      <w:r>
        <w:rPr>
          <w:sz w:val="24"/>
        </w:rPr>
        <w:t>Olukord, kus tõenäoliselt tuleb kliendi kohta esitada uut, lisa- või parandatud teavet, esineb siis, kui kontoomanik, kellel on siiani vaid hoiusekonto, avab hoidmiskonto (kuna tihtipeale võidakse kontoomanikult nõuda teabe esitamist oma riskiprofiili kohta) või kui kontoomanik sõlmib uue kindlustuslepingu. Üksnes asjaolu, et nõustutakse finantskontoga seotud tingimustega või kiidetakse heaks krediidireiting, ei ole teave kliendi kohta.</w:t>
      </w:r>
    </w:p>
    <w:p w:rsidR="00010DDB" w:rsidRPr="00E74148" w:rsidRDefault="00010DDB" w:rsidP="00E74148">
      <w:pPr>
        <w:pStyle w:val="Kehatekst"/>
        <w:widowControl w:val="0"/>
        <w:spacing w:after="100" w:afterAutospacing="1"/>
        <w:rPr>
          <w:sz w:val="24"/>
          <w:szCs w:val="24"/>
        </w:rPr>
      </w:pPr>
      <w:r>
        <w:rPr>
          <w:sz w:val="24"/>
        </w:rPr>
        <w:t>Mis puudutab lõike C punkti 9 alapunkti b alapunkti ii, siis näiteks kui aruandekohustuslikul finantsasutusel on alust arvata, et ühe sellise finantskonto omanikule määratud staatus ei ole õige, siis on tal alust arvata, et kontoomaniku kõikidele teistele finantskontodele määratud staatus ei ole õige. Samamoodi peab aruandekohustuslik finantsasutus olukorras, kus kontojääk või väärtus on oluline konto piirmäära kohaldamisel ühele või mitmele finantskontole, liitma kõikide selliste finantskontode jäägid või väärtused.</w:t>
      </w:r>
    </w:p>
    <w:p w:rsidR="00010DDB" w:rsidRPr="00E74148" w:rsidRDefault="00010DDB" w:rsidP="00E74148">
      <w:pPr>
        <w:pStyle w:val="Kehatekst"/>
        <w:widowControl w:val="0"/>
        <w:spacing w:after="100" w:afterAutospacing="1"/>
        <w:rPr>
          <w:sz w:val="24"/>
          <w:szCs w:val="24"/>
        </w:rPr>
      </w:pPr>
      <w:r>
        <w:rPr>
          <w:sz w:val="24"/>
        </w:rPr>
        <w:t>Fond tõenäoliselt ei kvalifitseeru lõike E punkti 4 alusel teise fondiga seotud ettevõttena, mistõttu ei saa olemasoleva konto alternatiivset määratlust kohaldada fondi registris registreeritud lõppinvestorite uutele osalustele või võlanõuetele. Sellist olukorda käsitleda soovivad jurisdiktsioonid peavad asendama lõike E punkti 4 järgmiselt:</w:t>
      </w:r>
    </w:p>
    <w:p w:rsidR="00010DDB" w:rsidRPr="00E74148" w:rsidRDefault="00010DDB" w:rsidP="00E74148">
      <w:pPr>
        <w:pStyle w:val="Kehatekst"/>
        <w:widowControl w:val="0"/>
        <w:spacing w:after="100" w:afterAutospacing="1"/>
        <w:rPr>
          <w:i/>
          <w:sz w:val="24"/>
          <w:szCs w:val="24"/>
        </w:rPr>
      </w:pPr>
      <w:r>
        <w:rPr>
          <w:i/>
          <w:sz w:val="24"/>
        </w:rPr>
        <w:t>4. Ettevõte on teise ettevõttega seotud ettevõte, a) kui üks ettevõte kontrollib teist ettevõtet; b) kui mõlemad ettevõtted alluvad ühisele kontrollile; või c) kui mõlemad ettevõtted on lõike A punkti 6 alapunktis b kirjeldatud investeerimisettevõtted, nad alluvad ühisele juhtkonnale ja selline juhtkond täidab selliste investeerimisettevõtete hoolsusmeetmetega seotud kohustusi. Kontroll tähendab otsest või kaudset omandiõigust rohkem kui 50 protsendile ettevõtte väärtusest või hääleõigusest.</w:t>
      </w:r>
    </w:p>
    <w:p w:rsidR="00FB7752"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 xml:space="preserve">Olemasolevat kontot ja uut kontot klassifitseeritakse kontoomaniku liigi alusel. Seega </w:t>
      </w:r>
      <w:r w:rsidR="00010DDB" w:rsidRPr="00FB7752">
        <w:rPr>
          <w:sz w:val="24"/>
        </w:rPr>
        <w:lastRenderedPageBreak/>
        <w:t>võib olemasolev konto olla kas füüsilise isiku olemasolev konto või ettevõtte olemasolev konto ja uus konto võib olla kas füüsilise isiku uus konto või ettevõtte uus konto. Nimetatud mõisted on määratletud lõike C punktides 11 kuni 13 ja 16.</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Füüsilise isiku olemasolevat kontot klassifitseeritakse selle jäägi või väärtuse, mis ületab 1 000 000 USA dollarit, alusel. Seega võib füüsilise isiku olemasolev konto olla kas madalama väärtusega konto või kõrgema väärtusega konto. Lõike C punktides 14 ja 15 on nimetatud mõisted määratletud järgmiselt:</w:t>
      </w:r>
    </w:p>
    <w:p w:rsidR="00A477F7" w:rsidRDefault="00010DDB" w:rsidP="00E74148">
      <w:pPr>
        <w:pStyle w:val="Loenditpp"/>
        <w:widowControl w:val="0"/>
        <w:spacing w:after="100" w:afterAutospacing="1"/>
        <w:rPr>
          <w:sz w:val="24"/>
          <w:szCs w:val="24"/>
        </w:rPr>
      </w:pPr>
      <w:r>
        <w:rPr>
          <w:sz w:val="24"/>
        </w:rPr>
        <w:t>madalama väärtusega konto tähendab füüsilise isiku olemasolevat kontot, mille jääk või väärtus 31. detsembri [xxxx]. aasta seisuga ei ületa 1 000 000 USA dollarit;</w:t>
      </w:r>
    </w:p>
    <w:p w:rsidR="00010DDB" w:rsidRPr="00E74148" w:rsidRDefault="00010DDB" w:rsidP="00E74148">
      <w:pPr>
        <w:pStyle w:val="Loenditpp"/>
        <w:widowControl w:val="0"/>
        <w:spacing w:after="100" w:afterAutospacing="1"/>
        <w:rPr>
          <w:sz w:val="24"/>
          <w:szCs w:val="24"/>
        </w:rPr>
      </w:pPr>
      <w:r>
        <w:rPr>
          <w:sz w:val="24"/>
        </w:rPr>
        <w:t>kõrgema väärtusega konto tähendab füüsilise isiku olemasolevat kontot, mille jääk või väärtus 31. detsembri [xxxx]. aasta või iga järgmise aasta 31. detsembri seisuga ületab 1 000 000 USA dollarit.</w:t>
      </w:r>
    </w:p>
    <w:p w:rsidR="00010DDB" w:rsidRPr="00E74148" w:rsidRDefault="00010DDB" w:rsidP="00E74148">
      <w:pPr>
        <w:pStyle w:val="Kehatekst"/>
        <w:widowControl w:val="0"/>
        <w:spacing w:after="100" w:afterAutospacing="1"/>
        <w:rPr>
          <w:sz w:val="24"/>
          <w:szCs w:val="24"/>
        </w:rPr>
      </w:pPr>
      <w:r>
        <w:rPr>
          <w:sz w:val="24"/>
        </w:rPr>
        <w:t>Kui konto muutub kõrgema väärtusega kontoks, jääb ta selleks kuni konto sulgemise päevani, mistõttu ei saa seda enam pidada madalama väärtusega kontoks.</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Kuigi kuupäevad, mille alusel klassifitseerida finantskontot kas olemasoleva konto või uue kontona on jäetud ühtset aruandluse standardit rakendava jurisdiktsiooni otsustada, eeldatakse, et uue konto jaoks määratud kuupäev on päev, mis järgneb olemasoleva konto jaoks määratud kuupäevale (vt lisa 5 – ühtse aruandluse standardi laiem käsitlus). Mis puudutab aastat, mille alusel klassifitseerida finantskontot kas madalama väärtusega konto või kõrgema väärtusega kontona, siis eeldatakse, et mõlema mõiste kohta valitakse sama aasta.</w:t>
      </w:r>
    </w:p>
    <w:p w:rsidR="00010DDB" w:rsidRPr="00E74148" w:rsidRDefault="00010DDB" w:rsidP="00E74148">
      <w:pPr>
        <w:pStyle w:val="Pealkiri4"/>
        <w:keepNext w:val="0"/>
        <w:widowControl w:val="0"/>
        <w:spacing w:after="100" w:afterAutospacing="1"/>
        <w:rPr>
          <w:sz w:val="24"/>
          <w:szCs w:val="24"/>
        </w:rPr>
      </w:pPr>
      <w:r>
        <w:rPr>
          <w:sz w:val="24"/>
        </w:rPr>
        <w:t>Lõike C punkt 17 – välistatud konto</w:t>
      </w:r>
    </w:p>
    <w:p w:rsidR="00010DDB" w:rsidRPr="00FB7752"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FB7752">
        <w:rPr>
          <w:sz w:val="24"/>
          <w:szCs w:val="24"/>
        </w:rPr>
        <w:fldChar w:fldCharType="begin"/>
      </w:r>
      <w:r w:rsidR="00010DDB" w:rsidRPr="00FB7752">
        <w:rPr>
          <w:sz w:val="24"/>
          <w:szCs w:val="24"/>
        </w:rPr>
        <w:instrText>MACROBUTTON NUMBERING</w:instrText>
      </w:r>
      <w:r w:rsidRPr="00FB7752">
        <w:rPr>
          <w:sz w:val="24"/>
          <w:szCs w:val="24"/>
        </w:rPr>
        <w:fldChar w:fldCharType="end"/>
      </w:r>
      <w:r w:rsidR="00010DDB" w:rsidRPr="00FB7752">
        <w:rPr>
          <w:sz w:val="24"/>
        </w:rPr>
        <w:t>Lõike C punktis 17 on sätestatud välistatud kontode (kontod, mis ei ole finantskontod ja mis on selle tõttu aruandluskohustusest vabastatud) erinevad kategooriad:</w:t>
      </w:r>
    </w:p>
    <w:p w:rsidR="00010DDB" w:rsidRPr="00E74148" w:rsidRDefault="00010DDB" w:rsidP="005C33A2">
      <w:pPr>
        <w:pStyle w:val="Loendinumber"/>
        <w:widowControl w:val="0"/>
        <w:numPr>
          <w:ilvl w:val="0"/>
          <w:numId w:val="42"/>
        </w:numPr>
        <w:spacing w:after="100" w:afterAutospacing="1"/>
        <w:rPr>
          <w:sz w:val="24"/>
          <w:szCs w:val="24"/>
        </w:rPr>
      </w:pPr>
      <w:r>
        <w:rPr>
          <w:sz w:val="24"/>
        </w:rPr>
        <w:t>pensionikontod,</w:t>
      </w:r>
    </w:p>
    <w:p w:rsidR="00010DDB" w:rsidRPr="00E74148" w:rsidRDefault="00010DDB" w:rsidP="005C33A2">
      <w:pPr>
        <w:pStyle w:val="Loendinumber"/>
        <w:widowControl w:val="0"/>
        <w:numPr>
          <w:ilvl w:val="0"/>
          <w:numId w:val="42"/>
        </w:numPr>
        <w:spacing w:after="100" w:afterAutospacing="1"/>
        <w:rPr>
          <w:sz w:val="24"/>
          <w:szCs w:val="24"/>
        </w:rPr>
      </w:pPr>
      <w:r>
        <w:rPr>
          <w:sz w:val="24"/>
        </w:rPr>
        <w:t>maksusoodustusega mittepensionikontod,</w:t>
      </w:r>
    </w:p>
    <w:p w:rsidR="00010DDB" w:rsidRPr="00E74148" w:rsidRDefault="00010DDB" w:rsidP="005C33A2">
      <w:pPr>
        <w:pStyle w:val="Loendinumber"/>
        <w:widowControl w:val="0"/>
        <w:numPr>
          <w:ilvl w:val="0"/>
          <w:numId w:val="42"/>
        </w:numPr>
        <w:spacing w:after="100" w:afterAutospacing="1"/>
        <w:rPr>
          <w:sz w:val="24"/>
          <w:szCs w:val="24"/>
        </w:rPr>
      </w:pPr>
      <w:r>
        <w:rPr>
          <w:sz w:val="24"/>
        </w:rPr>
        <w:t>tähtajalised elukindlustuslepingud,</w:t>
      </w:r>
    </w:p>
    <w:p w:rsidR="00010DDB" w:rsidRPr="00E74148" w:rsidRDefault="00010DDB" w:rsidP="005C33A2">
      <w:pPr>
        <w:pStyle w:val="Loendinumber"/>
        <w:widowControl w:val="0"/>
        <w:numPr>
          <w:ilvl w:val="0"/>
          <w:numId w:val="42"/>
        </w:numPr>
        <w:spacing w:after="100" w:afterAutospacing="1"/>
        <w:rPr>
          <w:sz w:val="24"/>
          <w:szCs w:val="24"/>
        </w:rPr>
      </w:pPr>
      <w:r>
        <w:rPr>
          <w:sz w:val="24"/>
        </w:rPr>
        <w:t>pärandvara kontod,</w:t>
      </w:r>
    </w:p>
    <w:p w:rsidR="00010DDB" w:rsidRPr="00E74148" w:rsidRDefault="00010DDB" w:rsidP="005C33A2">
      <w:pPr>
        <w:pStyle w:val="Loendinumber"/>
        <w:widowControl w:val="0"/>
        <w:numPr>
          <w:ilvl w:val="0"/>
          <w:numId w:val="42"/>
        </w:numPr>
        <w:spacing w:after="100" w:afterAutospacing="1"/>
        <w:rPr>
          <w:sz w:val="24"/>
          <w:szCs w:val="24"/>
        </w:rPr>
      </w:pPr>
      <w:r>
        <w:rPr>
          <w:sz w:val="24"/>
        </w:rPr>
        <w:t>deponeerimiskontod,</w:t>
      </w:r>
    </w:p>
    <w:p w:rsidR="00010DDB" w:rsidRPr="00E74148" w:rsidRDefault="00010DDB" w:rsidP="005C33A2">
      <w:pPr>
        <w:pStyle w:val="Loendinumber"/>
        <w:widowControl w:val="0"/>
        <w:numPr>
          <w:ilvl w:val="0"/>
          <w:numId w:val="42"/>
        </w:numPr>
        <w:spacing w:after="100" w:afterAutospacing="1"/>
        <w:rPr>
          <w:sz w:val="24"/>
          <w:szCs w:val="24"/>
        </w:rPr>
      </w:pPr>
      <w:r>
        <w:rPr>
          <w:sz w:val="24"/>
        </w:rPr>
        <w:t>hoiusekontod tagastamata enammakse alusel, ja</w:t>
      </w:r>
    </w:p>
    <w:p w:rsidR="00010DDB" w:rsidRPr="00E74148" w:rsidRDefault="00010DDB" w:rsidP="005C33A2">
      <w:pPr>
        <w:pStyle w:val="Loendinumber"/>
        <w:widowControl w:val="0"/>
        <w:numPr>
          <w:ilvl w:val="0"/>
          <w:numId w:val="42"/>
        </w:numPr>
        <w:spacing w:after="100" w:afterAutospacing="1"/>
        <w:rPr>
          <w:sz w:val="24"/>
          <w:szCs w:val="24"/>
        </w:rPr>
      </w:pPr>
      <w:r>
        <w:rPr>
          <w:sz w:val="24"/>
        </w:rPr>
        <w:t>madala riskiga välistatud kontod.</w:t>
      </w:r>
    </w:p>
    <w:p w:rsidR="00010DDB" w:rsidRPr="00E74148" w:rsidRDefault="00010DDB" w:rsidP="00E74148">
      <w:pPr>
        <w:pStyle w:val="Kehatekst"/>
        <w:widowControl w:val="0"/>
        <w:spacing w:after="100" w:afterAutospacing="1"/>
        <w:rPr>
          <w:sz w:val="24"/>
          <w:szCs w:val="24"/>
        </w:rPr>
      </w:pPr>
      <w:r>
        <w:rPr>
          <w:sz w:val="24"/>
        </w:rPr>
        <w:t>Need kategooriad langevad üldjuhul kokku kontodega, mis on finantskonto mõistest välja jäetud jurisdiktsiooni ja Ameerika Ühendriikide vahelises valitsustevahelises lepingus, mis on sõlmitud maksustamisnõuetest kinnipidamise parandamiseks, sealhulgas seoses FATCA-ga, eeldusel et sellist liiki kontod täidavad kõiki lõike C punktis 17 nimetatud tingimusi.</w:t>
      </w:r>
    </w:p>
    <w:p w:rsidR="00010DDB"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4"/>
          <w:sz w:val="24"/>
          <w:szCs w:val="24"/>
        </w:rPr>
      </w:pPr>
      <w:r w:rsidRPr="007223F4">
        <w:rPr>
          <w:spacing w:val="-4"/>
          <w:sz w:val="24"/>
          <w:szCs w:val="24"/>
        </w:rPr>
        <w:fldChar w:fldCharType="begin"/>
      </w:r>
      <w:r w:rsidR="00010DDB" w:rsidRPr="007223F4">
        <w:rPr>
          <w:spacing w:val="-4"/>
          <w:sz w:val="24"/>
          <w:szCs w:val="24"/>
        </w:rPr>
        <w:instrText>MACROBUTTON NUMBERING</w:instrText>
      </w:r>
      <w:r w:rsidRPr="007223F4">
        <w:rPr>
          <w:spacing w:val="-4"/>
          <w:sz w:val="24"/>
          <w:szCs w:val="24"/>
        </w:rPr>
        <w:fldChar w:fldCharType="end"/>
      </w:r>
      <w:r w:rsidR="00010DDB" w:rsidRPr="007223F4">
        <w:rPr>
          <w:spacing w:val="-4"/>
          <w:sz w:val="24"/>
        </w:rPr>
        <w:t xml:space="preserve">Selleks et teha kindlaks, kas konto täidab kõiki välistatud konto konkreetse kategooria jaoks ette nähtud tingimusi, võib aruandekohustuslik finantsasutus tugineda enda käsutuses olevale teabele (sealhulgas rahapesu tõkestamise / klienditundmise põhimõtte kohaselt kogutud teabele) või avalikult kättesaadavale teabele, mille alusel ta saab mõistlikult kindlaks teha, et konto on välistatud konto (vt V osa kommentaaride punkti 12). Aruandekohustuslikul finantsasutusel, mis haldab üksnes kontosid, mis on välistatud kontod, ei ole aruandlusega seotud kohustusi. Kuid aruandekohustuslikule finantsasutusele võib olla pandud teisi kohustusi, näiteks avaldatavate </w:t>
      </w:r>
      <w:r w:rsidR="00010DDB" w:rsidRPr="007223F4">
        <w:rPr>
          <w:spacing w:val="-4"/>
          <w:sz w:val="24"/>
        </w:rPr>
        <w:lastRenderedPageBreak/>
        <w:t>kontode puudumise korral nullaruande esitamine (kui see on riigisisese õigusega ette nähtud).</w:t>
      </w:r>
    </w:p>
    <w:p w:rsidR="00010DDB" w:rsidRPr="00E74148" w:rsidRDefault="00010DDB" w:rsidP="00E74148">
      <w:pPr>
        <w:pStyle w:val="Pealkiri5"/>
        <w:widowControl w:val="0"/>
        <w:spacing w:after="100" w:afterAutospacing="1"/>
        <w:rPr>
          <w:sz w:val="24"/>
          <w:szCs w:val="24"/>
        </w:rPr>
      </w:pPr>
      <w:r>
        <w:rPr>
          <w:sz w:val="24"/>
        </w:rPr>
        <w:t>Pensionikontod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Pensionikonto võib olla välistatud konto, kui ta täidab kõiki lõike C punkti 17 alapunktis a nimetatud tingimusi. Need tingimused peavad olema täidetud jurisdiktsiooni, kus kontot hallatakse, seaduste alusel. Kokkuvõttes on nõutud, et</w:t>
      </w:r>
    </w:p>
    <w:p w:rsidR="00010DDB" w:rsidRPr="00E74148" w:rsidRDefault="00010DDB" w:rsidP="005C33A2">
      <w:pPr>
        <w:pStyle w:val="Loendinumber"/>
        <w:widowControl w:val="0"/>
        <w:numPr>
          <w:ilvl w:val="0"/>
          <w:numId w:val="43"/>
        </w:numPr>
        <w:spacing w:after="100" w:afterAutospacing="1"/>
        <w:rPr>
          <w:sz w:val="24"/>
          <w:szCs w:val="24"/>
        </w:rPr>
      </w:pPr>
      <w:r>
        <w:rPr>
          <w:sz w:val="24"/>
        </w:rPr>
        <w:t>konto oleks reguleeritud;</w:t>
      </w:r>
    </w:p>
    <w:p w:rsidR="00010DDB" w:rsidRPr="00E74148" w:rsidRDefault="00010DDB" w:rsidP="005C33A2">
      <w:pPr>
        <w:pStyle w:val="Loendinumber"/>
        <w:widowControl w:val="0"/>
        <w:numPr>
          <w:ilvl w:val="0"/>
          <w:numId w:val="43"/>
        </w:numPr>
        <w:spacing w:after="100" w:afterAutospacing="1"/>
        <w:rPr>
          <w:sz w:val="24"/>
          <w:szCs w:val="24"/>
        </w:rPr>
      </w:pPr>
      <w:r>
        <w:rPr>
          <w:sz w:val="24"/>
        </w:rPr>
        <w:t>konto oleks maksusoodustusega;</w:t>
      </w:r>
    </w:p>
    <w:p w:rsidR="00010DDB" w:rsidRPr="00E74148" w:rsidRDefault="00010DDB" w:rsidP="005C33A2">
      <w:pPr>
        <w:pStyle w:val="Loendinumber"/>
        <w:widowControl w:val="0"/>
        <w:numPr>
          <w:ilvl w:val="0"/>
          <w:numId w:val="43"/>
        </w:numPr>
        <w:spacing w:after="100" w:afterAutospacing="1"/>
        <w:rPr>
          <w:sz w:val="24"/>
          <w:szCs w:val="24"/>
        </w:rPr>
      </w:pPr>
      <w:r>
        <w:rPr>
          <w:sz w:val="24"/>
        </w:rPr>
        <w:t>oleks kehtestatud kohustus esitada maksuhaldurile konto kohta teavet;</w:t>
      </w:r>
    </w:p>
    <w:p w:rsidR="00010DDB" w:rsidRPr="00E74148" w:rsidRDefault="00010DDB" w:rsidP="005C33A2">
      <w:pPr>
        <w:pStyle w:val="Loendinumber"/>
        <w:widowControl w:val="0"/>
        <w:numPr>
          <w:ilvl w:val="0"/>
          <w:numId w:val="43"/>
        </w:numPr>
        <w:spacing w:after="100" w:afterAutospacing="1"/>
        <w:rPr>
          <w:sz w:val="24"/>
          <w:szCs w:val="24"/>
        </w:rPr>
      </w:pPr>
      <w:r>
        <w:rPr>
          <w:sz w:val="24"/>
        </w:rPr>
        <w:t>kontolt raha väljavõtmise tingimuseks on teatud pensioniikka jõudmine, invaliidistumine või surm; kui raha võetakse välja enne neid kindlaksmääratud juhtumeid, määratakse trahv; ning</w:t>
      </w:r>
    </w:p>
    <w:p w:rsidR="00010DDB" w:rsidRPr="00E74148" w:rsidRDefault="00010DDB" w:rsidP="005C33A2">
      <w:pPr>
        <w:pStyle w:val="Loendinumber"/>
        <w:widowControl w:val="0"/>
        <w:numPr>
          <w:ilvl w:val="0"/>
          <w:numId w:val="43"/>
        </w:numPr>
        <w:spacing w:after="100" w:afterAutospacing="1"/>
        <w:rPr>
          <w:sz w:val="24"/>
          <w:szCs w:val="24"/>
        </w:rPr>
      </w:pPr>
      <w:r>
        <w:rPr>
          <w:sz w:val="24"/>
        </w:rPr>
        <w:t>(i) iga-aastaste sissemaksete piir on 50 000 USA dollarit või vähem, või (ii) elu jooksul kontole tehtavate sissemaksete ülempiir on 1 000 000 USA dollarit või vähem, välja arvatud pikendused.</w:t>
      </w:r>
    </w:p>
    <w:p w:rsidR="00010DDB"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4"/>
          <w:sz w:val="24"/>
          <w:szCs w:val="24"/>
        </w:rPr>
      </w:pPr>
      <w:r w:rsidRPr="007223F4">
        <w:rPr>
          <w:spacing w:val="-4"/>
          <w:sz w:val="24"/>
          <w:szCs w:val="24"/>
        </w:rPr>
        <w:fldChar w:fldCharType="begin"/>
      </w:r>
      <w:r w:rsidR="00010DDB" w:rsidRPr="007223F4">
        <w:rPr>
          <w:spacing w:val="-4"/>
          <w:sz w:val="24"/>
          <w:szCs w:val="24"/>
        </w:rPr>
        <w:instrText>MACROBUTTON NUMBERING</w:instrText>
      </w:r>
      <w:r w:rsidRPr="007223F4">
        <w:rPr>
          <w:spacing w:val="-4"/>
          <w:sz w:val="24"/>
          <w:szCs w:val="24"/>
        </w:rPr>
        <w:fldChar w:fldCharType="end"/>
      </w:r>
      <w:r w:rsidR="00010DDB" w:rsidRPr="007223F4">
        <w:rPr>
          <w:spacing w:val="-4"/>
          <w:sz w:val="24"/>
        </w:rPr>
        <w:t>Lõike C punkti 17 alapunkti a alapunktis iii sätestatud teabe esitamise kohustus võib jurisdiktsiooniti erineda. Üks jurisdiktsioon võib nõuda, et konto kohta esitataks teavet kord aastas, kuid samas teine jurisdiktsioon võib nõuda teabe esitamist kontole tehtavate sissemaksete ja kontoga seotud maksukergenduse kohta kord kuus ning kontoomanike ja kõikide kontole tehtavate sissemaksete kohta kord aastas. Seega eeldusel, et jurisdiktsioonis, kus kontot hallatakse, tuleb maksuhaldurile teavet esitada, ei ole teabe esitamise aeg ega viis määrava tähtsusega selles, kas konto täidab lõike C punkti 17 alapunkti a alapunktis iii sätestatud tingimust.</w:t>
      </w:r>
    </w:p>
    <w:p w:rsidR="00010DDB" w:rsidRPr="00E74148" w:rsidRDefault="00010DDB" w:rsidP="00E74148">
      <w:pPr>
        <w:pStyle w:val="Pealkiri5"/>
        <w:widowControl w:val="0"/>
        <w:spacing w:after="100" w:afterAutospacing="1"/>
        <w:rPr>
          <w:sz w:val="24"/>
          <w:szCs w:val="24"/>
        </w:rPr>
      </w:pPr>
      <w:r>
        <w:rPr>
          <w:sz w:val="24"/>
        </w:rPr>
        <w:t>Maksusoodustusega mittepensionikontod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Mittepensionikonto võib olla välistatud konto, kui ta täidab kõiki lõike C punkti 17 alapunktis b nimetatud tingimusi. Need tingimused peavad olema täidetud jurisdiktsiooni, kus kontot hallatakse, seaduste alusel. Kokkuvõttes on nõutud, et</w:t>
      </w:r>
    </w:p>
    <w:p w:rsidR="00010DDB" w:rsidRPr="00E74148" w:rsidRDefault="00010DDB" w:rsidP="005C33A2">
      <w:pPr>
        <w:pStyle w:val="Loendinumber"/>
        <w:widowControl w:val="0"/>
        <w:numPr>
          <w:ilvl w:val="0"/>
          <w:numId w:val="44"/>
        </w:numPr>
        <w:spacing w:after="100" w:afterAutospacing="1"/>
        <w:rPr>
          <w:sz w:val="24"/>
          <w:szCs w:val="24"/>
        </w:rPr>
      </w:pPr>
      <w:r>
        <w:rPr>
          <w:sz w:val="24"/>
        </w:rPr>
        <w:t>konto oleks reguleeritud ja investeerimismehhanismi korral reguleeritud väärtpaberiturul korrapäraselt kaubeldav (vt punkti 112 allpool);</w:t>
      </w:r>
    </w:p>
    <w:p w:rsidR="00010DDB" w:rsidRPr="00E74148" w:rsidRDefault="00010DDB" w:rsidP="005C33A2">
      <w:pPr>
        <w:pStyle w:val="Loendinumber"/>
        <w:widowControl w:val="0"/>
        <w:numPr>
          <w:ilvl w:val="0"/>
          <w:numId w:val="44"/>
        </w:numPr>
        <w:spacing w:after="100" w:afterAutospacing="1"/>
        <w:rPr>
          <w:sz w:val="24"/>
          <w:szCs w:val="24"/>
        </w:rPr>
      </w:pPr>
      <w:r>
        <w:rPr>
          <w:sz w:val="24"/>
        </w:rPr>
        <w:t>konto oleks maksusoodustusega;</w:t>
      </w:r>
    </w:p>
    <w:p w:rsidR="00010DDB" w:rsidRPr="00E74148" w:rsidRDefault="00010DDB" w:rsidP="005C33A2">
      <w:pPr>
        <w:pStyle w:val="Loendinumber"/>
        <w:widowControl w:val="0"/>
        <w:numPr>
          <w:ilvl w:val="0"/>
          <w:numId w:val="44"/>
        </w:numPr>
        <w:spacing w:after="100" w:afterAutospacing="1"/>
        <w:rPr>
          <w:sz w:val="24"/>
          <w:szCs w:val="24"/>
        </w:rPr>
      </w:pPr>
      <w:r>
        <w:rPr>
          <w:sz w:val="24"/>
        </w:rPr>
        <w:t>raha väljavõtmise tingimuseks oleks seatud konkreetsetele kriteeriumidele vastamine; kui raha võetakse välja enne kriteeriumide täitmist, määrataks trahv; ning</w:t>
      </w:r>
    </w:p>
    <w:p w:rsidR="00010DDB" w:rsidRPr="00E74148" w:rsidRDefault="00010DDB" w:rsidP="005C33A2">
      <w:pPr>
        <w:pStyle w:val="Loendinumber"/>
        <w:widowControl w:val="0"/>
        <w:numPr>
          <w:ilvl w:val="0"/>
          <w:numId w:val="44"/>
        </w:numPr>
        <w:spacing w:after="100" w:afterAutospacing="1"/>
        <w:rPr>
          <w:sz w:val="24"/>
          <w:szCs w:val="24"/>
        </w:rPr>
      </w:pPr>
      <w:r>
        <w:rPr>
          <w:sz w:val="24"/>
        </w:rPr>
        <w:t>iga-aastaste sissemaksete piir oleks 50 000 USA dollarit või vähem, välja arvatud pikendused.</w:t>
      </w:r>
    </w:p>
    <w:p w:rsidR="00010DDB" w:rsidRPr="00E74148" w:rsidRDefault="00010DDB" w:rsidP="00E74148">
      <w:pPr>
        <w:pStyle w:val="Pealkiri5"/>
        <w:widowControl w:val="0"/>
        <w:spacing w:after="100" w:afterAutospacing="1"/>
        <w:rPr>
          <w:sz w:val="24"/>
          <w:szCs w:val="24"/>
        </w:rPr>
      </w:pPr>
      <w:r>
        <w:rPr>
          <w:sz w:val="24"/>
        </w:rPr>
        <w:t>Tähtajalised elukindlustuslepingud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Elukindlustusleping, mille kindlustuskaitse tähtaeg lõpeb enne kindlustatu 90-aastaseks saamist, võib olla välistatud konto, kui leping täidab kõiki lõike C punkti 17 alapunktis c nimetatud tingimusi. Nagu on mainitud eespool punktis 77, on elukindlustusleping kindlustusleping, mille alusel kohustub kindlustusandja vastutasuna maksma summa ühe või mitme isiku surma tõttu.</w:t>
      </w:r>
    </w:p>
    <w:p w:rsidR="00010DDB" w:rsidRPr="00E74148" w:rsidRDefault="00010DDB" w:rsidP="00E74148">
      <w:pPr>
        <w:pStyle w:val="Pealkiri5"/>
        <w:widowControl w:val="0"/>
        <w:spacing w:after="100" w:afterAutospacing="1"/>
        <w:rPr>
          <w:sz w:val="24"/>
          <w:szCs w:val="24"/>
        </w:rPr>
      </w:pPr>
      <w:r>
        <w:rPr>
          <w:sz w:val="24"/>
        </w:rPr>
        <w:t>Pärandvara kontod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Lõike C punkti 17 alapunkti d kohaselt võib konto, mis kuulub ainult pärandvarasse, olla välistatud konto, kui selle konto dokumentatsioon sisaldab lahkunu testamendi või surmatunnistuse koopiat. Selles kontekstis peab aruandekohustuslik finantsasutus kuni nimetatud koopia saamiseni käsitama kontot sellises staatuses olevana, mis tal oli enne kontoomaniku surma. Pärandvara mõiste tõlgendamisel peab vaatama igas jurisdiktsioonis kehtestatud konkreetseteid eeskirju õiguste ja kohustuste ülemineku või pärimise kohta isiku surma korral (näiteks üldise pärimise eeskiri).</w:t>
      </w:r>
    </w:p>
    <w:p w:rsidR="00010DDB" w:rsidRPr="00E74148" w:rsidRDefault="00010DDB" w:rsidP="00E74148">
      <w:pPr>
        <w:pStyle w:val="Pealkiri5"/>
        <w:widowControl w:val="0"/>
        <w:spacing w:after="100" w:afterAutospacing="1"/>
        <w:rPr>
          <w:sz w:val="24"/>
          <w:szCs w:val="24"/>
        </w:rPr>
      </w:pPr>
      <w:r>
        <w:rPr>
          <w:sz w:val="24"/>
        </w:rPr>
        <w:t>Deponeerimiskontod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Pr>
          <w:sz w:val="24"/>
        </w:rPr>
        <w:t>Lõike C punkti 17 alapunkt e viitab üldjuhul kontodele, millel hoiab raha kolmas isik tehingu osapoolte nimel (deponeerimiskontod). Need kontod võivad olla välistatud kontod, kui need on avatud seoses alljärgnevaga:</w:t>
      </w:r>
    </w:p>
    <w:p w:rsidR="00010DDB" w:rsidRPr="00E74148" w:rsidRDefault="00010DDB" w:rsidP="005C33A2">
      <w:pPr>
        <w:pStyle w:val="Loendinumber"/>
        <w:widowControl w:val="0"/>
        <w:numPr>
          <w:ilvl w:val="0"/>
          <w:numId w:val="45"/>
        </w:numPr>
        <w:spacing w:after="100" w:afterAutospacing="1"/>
        <w:rPr>
          <w:sz w:val="24"/>
          <w:szCs w:val="24"/>
        </w:rPr>
      </w:pPr>
      <w:r>
        <w:rPr>
          <w:sz w:val="24"/>
        </w:rPr>
        <w:t>kohtumäärus või -otsus;</w:t>
      </w:r>
    </w:p>
    <w:p w:rsidR="00010DDB" w:rsidRPr="00E74148" w:rsidRDefault="00010DDB" w:rsidP="005C33A2">
      <w:pPr>
        <w:pStyle w:val="Loendinumber"/>
        <w:widowControl w:val="0"/>
        <w:numPr>
          <w:ilvl w:val="0"/>
          <w:numId w:val="45"/>
        </w:numPr>
        <w:spacing w:after="100" w:afterAutospacing="1"/>
        <w:rPr>
          <w:sz w:val="24"/>
          <w:szCs w:val="24"/>
        </w:rPr>
      </w:pPr>
      <w:r>
        <w:rPr>
          <w:sz w:val="24"/>
        </w:rPr>
        <w:t>kinnis- või vallasvara müük, vahetus või rentimine eeldusel, et konto vastab kõikidele lõike C punkti 17 alapunkti e alapunktis ii nimetatud nõuetele;</w:t>
      </w:r>
    </w:p>
    <w:p w:rsidR="00010DDB" w:rsidRPr="00E74148" w:rsidRDefault="00010DDB" w:rsidP="005C33A2">
      <w:pPr>
        <w:pStyle w:val="Loendinumber"/>
        <w:widowControl w:val="0"/>
        <w:numPr>
          <w:ilvl w:val="0"/>
          <w:numId w:val="45"/>
        </w:numPr>
        <w:spacing w:after="100" w:afterAutospacing="1"/>
        <w:rPr>
          <w:sz w:val="24"/>
          <w:szCs w:val="24"/>
        </w:rPr>
      </w:pPr>
      <w:r>
        <w:rPr>
          <w:sz w:val="24"/>
        </w:rPr>
        <w:t>kinnisvaraga tagatud laenu teenindava finantsasutuse kohustus panna osa maksest kõrvale üksnes selleks, et lihtsustada kinnisvaraga seotud maksude või kindlustuse maksmist hiljem;</w:t>
      </w:r>
    </w:p>
    <w:p w:rsidR="00010DDB" w:rsidRPr="00E74148" w:rsidRDefault="00010DDB" w:rsidP="005C33A2">
      <w:pPr>
        <w:pStyle w:val="Loendinumber"/>
        <w:widowControl w:val="0"/>
        <w:numPr>
          <w:ilvl w:val="0"/>
          <w:numId w:val="45"/>
        </w:numPr>
        <w:spacing w:after="100" w:afterAutospacing="1"/>
        <w:rPr>
          <w:sz w:val="24"/>
          <w:szCs w:val="24"/>
        </w:rPr>
      </w:pPr>
      <w:r>
        <w:rPr>
          <w:sz w:val="24"/>
        </w:rPr>
        <w:t>finantsasutuse kohustus üksnes lihtsustada maksude maksmist hiljem.</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 17 alapunkti e alapunktis ii kirjeldatud välistatud konto peab olema avatud seoses kinnis- või vallasvara müügi, vahetuse või rentimisega. Kinnis- ja vallasvara määratlemine jurisdiktsiooni, kus kontot hallatakse, seaduste alusel aitab vältida raskusi tõlgendamisel, kas vara või õigust tuleb käsitada kinnisvarana, vallasvarana või ei ühe ega teisena.</w:t>
      </w:r>
    </w:p>
    <w:p w:rsidR="00010DDB" w:rsidRPr="00E74148" w:rsidRDefault="00010DDB" w:rsidP="00E74148">
      <w:pPr>
        <w:pStyle w:val="Pealkiri5"/>
        <w:widowControl w:val="0"/>
        <w:spacing w:after="100" w:afterAutospacing="1"/>
        <w:rPr>
          <w:sz w:val="24"/>
          <w:szCs w:val="24"/>
        </w:rPr>
      </w:pPr>
      <w:r>
        <w:rPr>
          <w:sz w:val="24"/>
        </w:rPr>
        <w:t>Hoiusekontod tagastamata enammakse alusel</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eespool punktis 44 mainitud, ei tohi aruandekohustuslik finantsasutus, mis ei täida nõudeid, mis on vajalikud, et teda käsitataks kvalifitseerunud krediitkaardi väljastajana, kuid mis võtab vastu hoiuseid, kui klient teeb makse, mis ületab krediitkaardi või uueneva krediidiliini saldot, ikkagi esitada aruannet hoiusekonto kohta, mida lõike C punkti 17 alapunkti f alusel käsitatakse välistatud kontona. See alapunkt nõuab, et</w:t>
      </w:r>
    </w:p>
    <w:p w:rsidR="00010DDB" w:rsidRPr="00E74148" w:rsidRDefault="00010DDB" w:rsidP="005C33A2">
      <w:pPr>
        <w:pStyle w:val="Loendinumber"/>
        <w:widowControl w:val="0"/>
        <w:numPr>
          <w:ilvl w:val="0"/>
          <w:numId w:val="46"/>
        </w:numPr>
        <w:spacing w:after="100" w:afterAutospacing="1"/>
        <w:rPr>
          <w:sz w:val="24"/>
          <w:szCs w:val="24"/>
        </w:rPr>
      </w:pPr>
      <w:r>
        <w:rPr>
          <w:sz w:val="24"/>
        </w:rPr>
        <w:t>konto oleks olemas üksnes seetõttu, et klient teeb makse, mis ületab krediitkaardi või uueneva krediidiliini saldot ning enammakset ei tagastata kliendile viivitamata; ning</w:t>
      </w:r>
    </w:p>
    <w:p w:rsidR="00010DDB" w:rsidRPr="00E74148" w:rsidRDefault="00010DDB" w:rsidP="005C33A2">
      <w:pPr>
        <w:pStyle w:val="Loendinumber"/>
        <w:widowControl w:val="0"/>
        <w:numPr>
          <w:ilvl w:val="0"/>
          <w:numId w:val="46"/>
        </w:numPr>
        <w:spacing w:after="100" w:afterAutospacing="1"/>
        <w:rPr>
          <w:sz w:val="24"/>
          <w:szCs w:val="24"/>
        </w:rPr>
      </w:pPr>
      <w:r>
        <w:rPr>
          <w:sz w:val="24"/>
        </w:rPr>
        <w:t>finantsasutus kehtestab alates [xx/xx/xxxx] või enne seda kuupäeva eeskirjad ja protseduurid, mis kas välistavad 50 000 USA dollarit ületavad klientide enammaksed või tagavad, et mis tahes 50 000 USA dollarit ületav kliendi enammakse (ja kaardi või krediidiliini saldot ületav makse) tagastatakse kliendile 60 päeva jooksul, ning kõikidel juhtudel kohaldatakse VII osa lõikes C ette nähtud eeskirju kontode liitmise ja valuuta ümberarvestamise kohta. Käesolevas punktis ei käsitata kliendi kaardisaldot ületavat summat enammaksena vaidlustatud kulude ulatuses, kuid kaardisaldot ületavat summat käsitatakse enammaksena kauba tagastamisest tuleneva summa ulatuses.</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Kuigi lõike C punkti 17 alapunkti f alapunktis ii lahtiseks jäetud kuupäeva määrab kindlaks ühtset aruandluse standardit rakendav jurisdiktsioon, eeldatakse, et valitakse sama </w:t>
      </w:r>
      <w:r w:rsidR="00010DDB">
        <w:rPr>
          <w:sz w:val="24"/>
        </w:rPr>
        <w:lastRenderedPageBreak/>
        <w:t>kuupäev, mis valiti uue konto mõiste kohta. Selles kontekstis peab pärast valitud kuupäeva asutatud finantsasutus täitma lõike C punkti 17 alapunkti f alapunktis ii nimetatud nõude kuue kuu jooksul pärast finantsasutuse asutamiskuupäeva.</w:t>
      </w:r>
    </w:p>
    <w:p w:rsidR="00010DDB" w:rsidRPr="00E74148" w:rsidRDefault="00010DDB" w:rsidP="00E74148">
      <w:pPr>
        <w:pStyle w:val="Pealkiri5"/>
        <w:widowControl w:val="0"/>
        <w:spacing w:after="100" w:afterAutospacing="1"/>
        <w:rPr>
          <w:sz w:val="24"/>
          <w:szCs w:val="24"/>
        </w:rPr>
      </w:pPr>
      <w:r>
        <w:rPr>
          <w:sz w:val="24"/>
        </w:rPr>
        <w:t>Madala riskiga välistatud kontod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C punkti 17 alapunkti g alusel võib konto olla välistatud konto ka eeldusel, et</w:t>
      </w:r>
    </w:p>
    <w:p w:rsidR="00010DDB" w:rsidRPr="00E74148" w:rsidRDefault="00010DDB" w:rsidP="005C33A2">
      <w:pPr>
        <w:pStyle w:val="Loendinumber"/>
        <w:widowControl w:val="0"/>
        <w:numPr>
          <w:ilvl w:val="0"/>
          <w:numId w:val="47"/>
        </w:numPr>
        <w:spacing w:after="100" w:afterAutospacing="1"/>
        <w:rPr>
          <w:sz w:val="24"/>
          <w:szCs w:val="24"/>
        </w:rPr>
      </w:pPr>
      <w:r>
        <w:rPr>
          <w:sz w:val="24"/>
        </w:rPr>
        <w:t>konto puhul ei ole tõenäoline, et seda kasutataks maksudest kõrvalehoidumiseks;</w:t>
      </w:r>
    </w:p>
    <w:p w:rsidR="00010DDB" w:rsidRPr="00E74148" w:rsidRDefault="00010DDB" w:rsidP="005C33A2">
      <w:pPr>
        <w:pStyle w:val="Loendinumber"/>
        <w:widowControl w:val="0"/>
        <w:numPr>
          <w:ilvl w:val="0"/>
          <w:numId w:val="47"/>
        </w:numPr>
        <w:spacing w:after="100" w:afterAutospacing="1"/>
        <w:rPr>
          <w:sz w:val="24"/>
          <w:szCs w:val="24"/>
        </w:rPr>
      </w:pPr>
      <w:r>
        <w:rPr>
          <w:sz w:val="24"/>
        </w:rPr>
        <w:t>kontol on lõike C punkti 17 alapunktides a kuni f kirjeldatud kontodega sarnased tunnused;</w:t>
      </w:r>
    </w:p>
    <w:p w:rsidR="00010DDB" w:rsidRPr="00E74148" w:rsidRDefault="00010DDB" w:rsidP="005C33A2">
      <w:pPr>
        <w:pStyle w:val="Loendinumber"/>
        <w:widowControl w:val="0"/>
        <w:numPr>
          <w:ilvl w:val="0"/>
          <w:numId w:val="47"/>
        </w:numPr>
        <w:spacing w:after="100" w:afterAutospacing="1"/>
        <w:rPr>
          <w:sz w:val="24"/>
          <w:szCs w:val="24"/>
        </w:rPr>
      </w:pPr>
      <w:r>
        <w:rPr>
          <w:sz w:val="24"/>
        </w:rPr>
        <w:t>kontot käsitatakse riigisisese õiguse alusel välistatud kontona; ja</w:t>
      </w:r>
    </w:p>
    <w:p w:rsidR="00010DDB" w:rsidRPr="00E74148" w:rsidRDefault="00010DDB" w:rsidP="005C33A2">
      <w:pPr>
        <w:pStyle w:val="Loendinumber"/>
        <w:widowControl w:val="0"/>
        <w:numPr>
          <w:ilvl w:val="0"/>
          <w:numId w:val="47"/>
        </w:numPr>
        <w:spacing w:after="100" w:afterAutospacing="1"/>
        <w:rPr>
          <w:sz w:val="24"/>
          <w:szCs w:val="24"/>
        </w:rPr>
      </w:pPr>
      <w:r>
        <w:rPr>
          <w:sz w:val="24"/>
        </w:rPr>
        <w:t>konto käsitamine välistatud kontona ei lähe vastuollu ühtse aruandluse standardiga.</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Selle välistatud konto mitteammendava kategooria eesmärk on sobida kontode jurisdiktsioonispetsiifilistele liikidele, mis täidavad lõike C punkti 17 alapunktis g nimetatud tingimusi, ning samuti väldib see vajadust finantskontodealase teabe automaatse vahetamise lepingu sõlmimisel läbi rääkida välistatud kontode liike.</w:t>
      </w:r>
    </w:p>
    <w:p w:rsidR="00010DDB"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6"/>
          <w:sz w:val="24"/>
          <w:szCs w:val="24"/>
        </w:rPr>
      </w:pPr>
      <w:r w:rsidRPr="007223F4">
        <w:rPr>
          <w:spacing w:val="-6"/>
          <w:sz w:val="24"/>
          <w:szCs w:val="24"/>
        </w:rPr>
        <w:fldChar w:fldCharType="begin"/>
      </w:r>
      <w:r w:rsidR="00010DDB" w:rsidRPr="007223F4">
        <w:rPr>
          <w:spacing w:val="-6"/>
          <w:sz w:val="24"/>
          <w:szCs w:val="24"/>
        </w:rPr>
        <w:instrText>MACROBUTTON NUMBERING</w:instrText>
      </w:r>
      <w:r w:rsidRPr="007223F4">
        <w:rPr>
          <w:spacing w:val="-6"/>
          <w:sz w:val="24"/>
          <w:szCs w:val="24"/>
        </w:rPr>
        <w:fldChar w:fldCharType="end"/>
      </w:r>
      <w:r w:rsidR="00010DDB" w:rsidRPr="007223F4">
        <w:rPr>
          <w:spacing w:val="-6"/>
          <w:sz w:val="24"/>
        </w:rPr>
        <w:t>Lõike C punkti 17 alapunktis g kirjeldatud esimene tingimus on, et konto puhul ei oleks tõenäoline, et seda kasutataks maksudest kõrvalehoidumiseks. Tegurid, mida võib sellise riski kindlakstegemiseks arvesse võtta, hõlmavad</w:t>
      </w:r>
    </w:p>
    <w:p w:rsidR="00010DDB" w:rsidRPr="00E74148" w:rsidRDefault="00010DDB" w:rsidP="005C33A2">
      <w:pPr>
        <w:pStyle w:val="Loendinumber"/>
        <w:widowControl w:val="0"/>
        <w:numPr>
          <w:ilvl w:val="0"/>
          <w:numId w:val="48"/>
        </w:numPr>
        <w:spacing w:after="100" w:afterAutospacing="1"/>
        <w:rPr>
          <w:sz w:val="24"/>
          <w:szCs w:val="24"/>
        </w:rPr>
      </w:pPr>
      <w:r>
        <w:rPr>
          <w:sz w:val="24"/>
        </w:rPr>
        <w:t>madala riski tegureid:</w:t>
      </w:r>
    </w:p>
    <w:p w:rsidR="00010DDB" w:rsidRPr="00E74148" w:rsidRDefault="00010DDB" w:rsidP="005C33A2">
      <w:pPr>
        <w:pStyle w:val="Loendinumber"/>
        <w:widowControl w:val="0"/>
        <w:numPr>
          <w:ilvl w:val="1"/>
          <w:numId w:val="48"/>
        </w:numPr>
        <w:spacing w:after="100" w:afterAutospacing="1"/>
        <w:rPr>
          <w:sz w:val="24"/>
          <w:szCs w:val="24"/>
        </w:rPr>
      </w:pPr>
      <w:r>
        <w:rPr>
          <w:sz w:val="24"/>
        </w:rPr>
        <w:t>konto peab olema reguleeritud;</w:t>
      </w:r>
    </w:p>
    <w:p w:rsidR="00010DDB" w:rsidRPr="00E74148" w:rsidRDefault="00010DDB" w:rsidP="005C33A2">
      <w:pPr>
        <w:pStyle w:val="Loendinumber"/>
        <w:widowControl w:val="0"/>
        <w:numPr>
          <w:ilvl w:val="1"/>
          <w:numId w:val="48"/>
        </w:numPr>
        <w:spacing w:after="100" w:afterAutospacing="1"/>
        <w:rPr>
          <w:sz w:val="24"/>
          <w:szCs w:val="24"/>
        </w:rPr>
      </w:pPr>
      <w:r>
        <w:rPr>
          <w:sz w:val="24"/>
        </w:rPr>
        <w:t>konto on maksusoodustusega;</w:t>
      </w:r>
    </w:p>
    <w:p w:rsidR="00010DDB" w:rsidRPr="00E74148" w:rsidRDefault="00010DDB" w:rsidP="005C33A2">
      <w:pPr>
        <w:pStyle w:val="Loendinumber"/>
        <w:widowControl w:val="0"/>
        <w:numPr>
          <w:ilvl w:val="1"/>
          <w:numId w:val="48"/>
        </w:numPr>
        <w:spacing w:after="100" w:afterAutospacing="1"/>
        <w:rPr>
          <w:sz w:val="24"/>
          <w:szCs w:val="24"/>
        </w:rPr>
      </w:pPr>
      <w:r>
        <w:rPr>
          <w:sz w:val="24"/>
        </w:rPr>
        <w:t>maksuhaldurile tuleb esitada konto kohta teavet;</w:t>
      </w:r>
    </w:p>
    <w:p w:rsidR="00010DDB" w:rsidRPr="00E74148" w:rsidRDefault="00010DDB" w:rsidP="005C33A2">
      <w:pPr>
        <w:pStyle w:val="Loendinumber"/>
        <w:widowControl w:val="0"/>
        <w:numPr>
          <w:ilvl w:val="1"/>
          <w:numId w:val="48"/>
        </w:numPr>
        <w:spacing w:after="100" w:afterAutospacing="1"/>
        <w:rPr>
          <w:sz w:val="24"/>
          <w:szCs w:val="24"/>
        </w:rPr>
      </w:pPr>
      <w:r>
        <w:rPr>
          <w:sz w:val="24"/>
        </w:rPr>
        <w:t>sissemaksed või sellega seotud maksukergendus on piiratud;</w:t>
      </w:r>
    </w:p>
    <w:p w:rsidR="00010DDB" w:rsidRPr="00E74148" w:rsidRDefault="00010DDB" w:rsidP="005C33A2">
      <w:pPr>
        <w:pStyle w:val="Loendinumber"/>
        <w:widowControl w:val="0"/>
        <w:numPr>
          <w:ilvl w:val="1"/>
          <w:numId w:val="48"/>
        </w:numPr>
        <w:spacing w:after="100" w:afterAutospacing="1"/>
        <w:rPr>
          <w:sz w:val="24"/>
          <w:szCs w:val="24"/>
        </w:rPr>
      </w:pPr>
      <w:r>
        <w:rPr>
          <w:sz w:val="24"/>
        </w:rPr>
        <w:t>konto liik pakub teatud liiki klientidele nõuetekohaselt määratletud ja piiratud teenuseid, et suurendada finantsteenuste kättesaadavust;</w:t>
      </w:r>
    </w:p>
    <w:p w:rsidR="00010DDB" w:rsidRPr="00E74148" w:rsidRDefault="00010DDB" w:rsidP="005C33A2">
      <w:pPr>
        <w:pStyle w:val="Loendinumber"/>
        <w:widowControl w:val="0"/>
        <w:numPr>
          <w:ilvl w:val="0"/>
          <w:numId w:val="48"/>
        </w:numPr>
        <w:spacing w:after="100" w:afterAutospacing="1"/>
        <w:rPr>
          <w:sz w:val="24"/>
          <w:szCs w:val="24"/>
        </w:rPr>
      </w:pPr>
      <w:r>
        <w:rPr>
          <w:sz w:val="24"/>
        </w:rPr>
        <w:t>kõrge riski tegureid:</w:t>
      </w:r>
    </w:p>
    <w:p w:rsidR="00010DDB" w:rsidRPr="00E74148" w:rsidRDefault="00010DDB" w:rsidP="005C33A2">
      <w:pPr>
        <w:pStyle w:val="Loendinumber"/>
        <w:widowControl w:val="0"/>
        <w:numPr>
          <w:ilvl w:val="1"/>
          <w:numId w:val="49"/>
        </w:numPr>
        <w:spacing w:after="100" w:afterAutospacing="1"/>
        <w:rPr>
          <w:sz w:val="24"/>
          <w:szCs w:val="24"/>
        </w:rPr>
      </w:pPr>
      <w:r>
        <w:rPr>
          <w:sz w:val="24"/>
        </w:rPr>
        <w:t>konto liigile ei kehti rahapesu tõkestamise / klienditundmise põhimõte;</w:t>
      </w:r>
    </w:p>
    <w:p w:rsidR="00010DDB" w:rsidRPr="00E74148" w:rsidRDefault="00010DDB" w:rsidP="005C33A2">
      <w:pPr>
        <w:pStyle w:val="Loendinumber"/>
        <w:widowControl w:val="0"/>
        <w:numPr>
          <w:ilvl w:val="1"/>
          <w:numId w:val="49"/>
        </w:numPr>
        <w:spacing w:after="100" w:afterAutospacing="1"/>
        <w:rPr>
          <w:sz w:val="24"/>
          <w:szCs w:val="24"/>
        </w:rPr>
      </w:pPr>
      <w:r>
        <w:rPr>
          <w:sz w:val="24"/>
        </w:rPr>
        <w:t>konto liiki reklaamitakse maksuvähendamise mehhanismina.</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C punkti 17 alapunktis g kirjeldatud teine tingimus on, et kontol oleksid lõike C punkti 17 alapunktides a kuni f kirjeldatud kontodega sarnased tunnused. Seda nõuet ei saa kasutada üksnes selleks, et elimineerida kirjelduse teatud element. Iga jurisdiktsioon võib hinnata selle tingimuse kohaldamist konto liigile, mis ei täida kõiki lõike C punkti 17 alapunktides a kuni f nimetatud teatud kirjelduse tingimusi. Sellise hinnangu raames peab jurisdiktsioon kindlaks tegema, millised tingimused on täidetud ja millised mitte, ning täitmata tingimuste puhul tuvastama, kas on olemas asendustingimus, mis tagab samaväärse kindluse, et konto asjaomase liigi puhul ei ole tõenäoline, et seda kasutataks maksudest kõrvalehoidumiseks.</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 xml:space="preserve">Lõike C punkti 17 alapunktis g kirjeldatud kolmas tingimus on, et kontot käsitataks riigisiseses õiguses välistatud kontona. See tingimus on täidetud, kui jurisdiktsioon määratleb teatud liiki kontot välistatud kontona ja see määratlus sisaldub riigisiseses õiguses. Selles kontekstis tagab jurisdiktsioon üldjuhul kooskõla konto liikidega, mis on finantskonto mõistest välja jäetud jurisdiktsiooni ja Ameerika Ühendriikide vahelises valitsustevahelises </w:t>
      </w:r>
      <w:r w:rsidR="00010DDB" w:rsidRPr="00B838D3">
        <w:rPr>
          <w:sz w:val="24"/>
        </w:rPr>
        <w:lastRenderedPageBreak/>
        <w:t>lepingus, mis on sõlmitud maksustamisnõuetest kinnipidamise parandamiseks, sealhulgas seoses FATCA-ga (näiteks säästukontod, mis ei ole juba välistatud kontod), eeldusel et sellist liiki kontod täidavad kõiki lõike C punkti 17 alapunktis g nimetatud tingimusi. Eeldatakse, et igal jurisdiktsioonil on üks ühtne riigisiseselt määratletud välistatud kontode nimekiri (vastupidiselt eri nimekirjadele erinevate osalevate jurisdiktsioonide jaoks), mis on avalikult kättesaadav.</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C punkti 17 alapunktis g kirjeldatud neljas tingimus on, et konto käsitamine välistatud kontona ei läheks vastuollu ühtse aruandluse standardiga. Eeldatakse, et selle nõude täitmist jälgitakse muu hulgas alljärgneva kaudu:</w:t>
      </w:r>
    </w:p>
    <w:p w:rsidR="00010DDB" w:rsidRPr="00E74148" w:rsidRDefault="00010DDB" w:rsidP="005C33A2">
      <w:pPr>
        <w:pStyle w:val="Loendinumber"/>
        <w:widowControl w:val="0"/>
        <w:numPr>
          <w:ilvl w:val="0"/>
          <w:numId w:val="50"/>
        </w:numPr>
        <w:spacing w:after="100" w:afterAutospacing="1"/>
        <w:rPr>
          <w:sz w:val="24"/>
          <w:szCs w:val="24"/>
        </w:rPr>
      </w:pPr>
      <w:r>
        <w:rPr>
          <w:sz w:val="24"/>
        </w:rPr>
        <w:t>halduskord, mille jurisdiktsioon peab olema kehtestanud, et tagada, et riigisiseses õiguses välistatud kontodena määratletud kontode puhul ei ole jätkuvalt tõenäoline, et neid kasutataks maksudest kõrvalehoidumiseks (vt IX osa lõike A punkti 4);</w:t>
      </w:r>
    </w:p>
    <w:p w:rsidR="00010DDB" w:rsidRPr="00E74148" w:rsidRDefault="00010DDB" w:rsidP="005C33A2">
      <w:pPr>
        <w:pStyle w:val="Loendinumber"/>
        <w:widowControl w:val="0"/>
        <w:numPr>
          <w:ilvl w:val="0"/>
          <w:numId w:val="50"/>
        </w:numPr>
        <w:spacing w:after="100" w:afterAutospacing="1"/>
        <w:rPr>
          <w:sz w:val="24"/>
          <w:szCs w:val="24"/>
        </w:rPr>
      </w:pPr>
      <w:r>
        <w:rPr>
          <w:sz w:val="24"/>
        </w:rPr>
        <w:t>pädeva asutusega teabevahetuse ajutine peatamine olukorras, kus teine pädev asutus on määratlenud konto välistatud kontona viisil, mis läheb vastuollu ühtse aruandluse standardiga (vt pädeva asutuse mudellepingu artikli 7 lõiget 2); ja</w:t>
      </w:r>
    </w:p>
    <w:p w:rsidR="00010DDB" w:rsidRPr="00E74148" w:rsidRDefault="00010DDB" w:rsidP="005C33A2">
      <w:pPr>
        <w:pStyle w:val="Loendinumber"/>
        <w:widowControl w:val="0"/>
        <w:numPr>
          <w:ilvl w:val="0"/>
          <w:numId w:val="50"/>
        </w:numPr>
        <w:spacing w:after="100" w:afterAutospacing="1"/>
        <w:rPr>
          <w:sz w:val="24"/>
          <w:szCs w:val="24"/>
        </w:rPr>
      </w:pPr>
      <w:r>
        <w:rPr>
          <w:sz w:val="24"/>
        </w:rPr>
        <w:t>G20 ülemaailmsele läbipaistvuse ja maksualase teabevahetuse foorumile ülesandeks tehtud mehhanism ühtse aruandluse standardi rakendamise ülevaatamiseks (vt G20 liidrite deklaratsioon, Peterburi tippkohtumine, 5.–6. september 2013, punkt 51).</w:t>
      </w:r>
      <w:r>
        <w:rPr>
          <w:rStyle w:val="Allmrkuseviide"/>
          <w:sz w:val="24"/>
        </w:rPr>
        <w:footnoteReference w:id="12"/>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Järgnevad näited illustreerivad lõike C punkti 17 alapunkti g kohaldamist.</w:t>
      </w:r>
    </w:p>
    <w:p w:rsidR="00010DDB" w:rsidRPr="00E74148" w:rsidRDefault="00010DDB" w:rsidP="00E74148">
      <w:pPr>
        <w:pStyle w:val="Loenditpp"/>
        <w:widowControl w:val="0"/>
        <w:spacing w:after="100" w:afterAutospacing="1"/>
        <w:rPr>
          <w:sz w:val="24"/>
          <w:szCs w:val="24"/>
        </w:rPr>
      </w:pPr>
      <w:r>
        <w:rPr>
          <w:sz w:val="24"/>
        </w:rPr>
        <w:t>Näide 1 (piiramatu annuiteedileping). Teatud liiki annuiteedileping täidab kõiki lõike C punkti 17 alapunktis a nimetatud tingimusi, välja arvatud lõike C punkti 17 alapunkti a alapunktis v nimetatud tingimust (sissemaksed ei ole piiratud). Kuid kohaldatavad karistused kehtivad raha väljavõtmisele enne teatud pensioniikka jõudmist, kusjuures maksustatakse sissemakseid, mis olid varem kindla lisamaksu suuruse maksusoodustusega (näiteks 60%). Kuna kehtib asendustingimus, mis näeb ette samaväärse kindluse, et konto puhul ei ole tõenäoline, et seda kasutataks maksudest kõrvalehoidumiseks, võib sellist liiki kontot määratleda riigisiseses õiguses välistatud kontona.</w:t>
      </w:r>
    </w:p>
    <w:p w:rsidR="00010DDB" w:rsidRPr="00E74148" w:rsidRDefault="00010DDB" w:rsidP="00E74148">
      <w:pPr>
        <w:pStyle w:val="Loenditpp"/>
        <w:widowControl w:val="0"/>
        <w:spacing w:after="100" w:afterAutospacing="1"/>
        <w:rPr>
          <w:sz w:val="24"/>
          <w:szCs w:val="24"/>
        </w:rPr>
      </w:pPr>
      <w:r>
        <w:rPr>
          <w:sz w:val="24"/>
        </w:rPr>
        <w:t>Näide 2 (piiramatu säästukonto). Teatud liiki säästukonto täidab kõiki lõike C punkti 17 alapunktis b nimetatud tingimusi, välja arvatud lõike C punkti 17 alapunkti b alapunktis iv nimetatud tingimust (sissemaksed ei ole piiratud). Kuid sissemaksetega seotud maksukergendus on piiratud indekseeritud summaga. Kuna kehtib asendustingimus, mis näeb ette samaväärse kindluse, et konto puhul ei ole tõenäoline, et seda kasutataks maksudest kõrvalehoidumiseks, võib sellist liiki kontot määratleda riigisiseses õiguses välistatud kontona.</w:t>
      </w:r>
    </w:p>
    <w:p w:rsidR="00010DDB" w:rsidRPr="00E74148" w:rsidRDefault="00010DDB" w:rsidP="00E74148">
      <w:pPr>
        <w:pStyle w:val="Loenditpp"/>
        <w:widowControl w:val="0"/>
        <w:spacing w:after="100" w:afterAutospacing="1"/>
        <w:rPr>
          <w:sz w:val="24"/>
          <w:szCs w:val="24"/>
        </w:rPr>
      </w:pPr>
      <w:r>
        <w:rPr>
          <w:sz w:val="24"/>
        </w:rPr>
        <w:t>Näide 3 (rahalise väärtusega mikrokindlustusleping). Rahalise väärtusega kindlustusleping täidab üksnes lõike C punkti 17 alapunkti b alapunktis i nimetatud tingimust (seda reguleeritakse säästmismehhanismina, mille eesmärk ei ole pension). Kuid osaleva jurisdiktsiooni mikrokindlustuse eeskirjade kohaselt (i) on see suunatud füüsilistele isikutele (või füüsiliste isikute gruppidele), kes elavad alla vaesuspiiri (näiteks kelle sissetulek on alla 1,25 USA dollari inimese kohta päevas 2005. aasta USA dollarites) ja (ii) lepingu alusel väljamakstav kogu brutosumma ei tohi ületada 7000 USA dollarit. Kuna kehtib asendustingimus, mis näeb ette samaväärse kindluse, et konto puhul ei ole tõenäoline, et seda kasutataks maksudest kõrvalehoidumiseks, võib sellist liiki kontot määratleda riigisiseses õiguses välistatud kontona.</w:t>
      </w:r>
    </w:p>
    <w:p w:rsidR="00010DDB" w:rsidRPr="00E74148" w:rsidRDefault="00010DDB" w:rsidP="00E74148">
      <w:pPr>
        <w:pStyle w:val="Loenditpp"/>
        <w:widowControl w:val="0"/>
        <w:spacing w:after="100" w:afterAutospacing="1"/>
        <w:rPr>
          <w:sz w:val="24"/>
          <w:szCs w:val="24"/>
        </w:rPr>
      </w:pPr>
      <w:r>
        <w:rPr>
          <w:sz w:val="24"/>
        </w:rPr>
        <w:lastRenderedPageBreak/>
        <w:t>Näide 4 (sotsiaalhoolekande konto). Säästukonto täidab üksnes lõike C punkti 17 alapunkti b alapunktis i nimetatud tingimust (seda reguleeritakse säästmismehhanismina, mille eesmärk ei ole pension). Kuid osaleva jurisdiktsiooni sotsiaalhoolekande eeskirjade kohaselt võib selle omanikuks olla vaid füüsiline isik, (i) kes elab alla vaesuspiiri (näiteks kelle sissetulek on alla 1,25 USA dollari inimese kohta päevas 2005. aasta USA dollarites) või kellel on muidu väike sissetulek ja (ii) kes osaleb sotsiaalhoolekandeprogrammis. Kuna kehtib asendustingimus, mis näeb ette samaväärse kindluse, et konto puhul ei ole tõenäoline, et seda kasutataks maksudest kõrvalehoidumiseks, võib sellist liiki kontot määratleda riigisiseses õiguses välistatud kontona.</w:t>
      </w:r>
    </w:p>
    <w:p w:rsidR="00010DDB" w:rsidRPr="00E74148" w:rsidRDefault="00010DDB" w:rsidP="00E74148">
      <w:pPr>
        <w:pStyle w:val="Loenditpp"/>
        <w:widowControl w:val="0"/>
        <w:spacing w:after="100" w:afterAutospacing="1"/>
        <w:rPr>
          <w:sz w:val="24"/>
          <w:szCs w:val="24"/>
        </w:rPr>
      </w:pPr>
      <w:r>
        <w:rPr>
          <w:sz w:val="24"/>
        </w:rPr>
        <w:t>Näide 5 (finantsteenuste kättesaadavuse konto). Hoiukonto täidab üksnes lõike C punkti 17 alapunkti b alapunktides i ja iv nimetatud tingimusi (seda reguleeritakse säästmismehhanismina, mille eesmärk ei ole pension, ja iga-aastased sissemaksed on piiratud). Kuid osaleva jurisdiktsiooni finantseeskirjade alusel (i) osutab see füüsilistele isikutele kindlaksmääratud ja piiratud teenuseid, et suurendada finantsteenuste kättesaadavust; (ii) ei tohi igakuised sissemaksed ületada 1250 USA dollarit (välja arvatud sotsiaalhoolekandeprogrammi alusel volitatud valitsusasutuse tehtavad sissemaksed); ja (iii) on finantsasutustel lubatud kasutada sellist liiki konto puhul lihtsustatud rahapesu tõkestamise / klienditundmise põhimõtet, kuna loetakse, et sellega on seotud väiksem rahapesu ja terrorismi rahastamise oht kooskõlas FATF-i soovitustega. Kuna kehtivad asendustingimused, mis näevad ette samaväärse kindluse, et konto puhul ei ole tõenäoline, et seda kasutataks maksudest kõrvalehoidumiseks, võib sellist liiki kontot määratleda riigisiseses õiguses välistatud kontona.</w:t>
      </w:r>
    </w:p>
    <w:p w:rsidR="00010DDB" w:rsidRPr="00E74148" w:rsidRDefault="00010DDB" w:rsidP="00E74148">
      <w:pPr>
        <w:pStyle w:val="Loenditpp"/>
        <w:widowControl w:val="0"/>
        <w:spacing w:after="100" w:afterAutospacing="1"/>
        <w:rPr>
          <w:sz w:val="24"/>
          <w:szCs w:val="24"/>
        </w:rPr>
      </w:pPr>
      <w:r>
        <w:rPr>
          <w:sz w:val="24"/>
        </w:rPr>
        <w:t>Näide 6 (mitteaktiivne konto). Hoiusekonto, (i) mille aastabilanss ei ületa 1000 USA dollarit, (ii) mis ei ole aktiivne konto (vt III osa kommentaaride punkti 9). Kuna kehtivad asendustingimused, mis näevad ette samaväärse kindluse, et konto puhul ei ole tõenäoline, et seda kasutataks maksudest kõrvalehoidumiseks, võib sellist liiki kontot määratleda riigisiseses õiguses mitteaktiivsuse perioodil välistatud kontona.</w:t>
      </w:r>
    </w:p>
    <w:p w:rsidR="00010DDB" w:rsidRPr="00E74148" w:rsidRDefault="00010DDB" w:rsidP="00E74148">
      <w:pPr>
        <w:pStyle w:val="Pealkiri3"/>
        <w:keepNext w:val="0"/>
        <w:widowControl w:val="0"/>
        <w:spacing w:after="100" w:afterAutospacing="1"/>
        <w:rPr>
          <w:sz w:val="24"/>
          <w:szCs w:val="24"/>
        </w:rPr>
      </w:pPr>
      <w:bookmarkStart w:id="212" w:name="_Toc420331855"/>
      <w:bookmarkStart w:id="213" w:name="_Toc420331924"/>
      <w:r>
        <w:rPr>
          <w:sz w:val="24"/>
        </w:rPr>
        <w:t>Lõige D – avaldatav konto</w:t>
      </w:r>
      <w:bookmarkEnd w:id="212"/>
      <w:bookmarkEnd w:id="213"/>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Lõikes D on sätestatud avaldatava konto mõiste ja kõik muud mõisted, mis on olulised selleks, et määrata kindlaks, kas konto on avaldatav konto.</w:t>
      </w:r>
    </w:p>
    <w:p w:rsidR="00010DDB" w:rsidRPr="00E74148" w:rsidRDefault="00010DDB" w:rsidP="00E74148">
      <w:pPr>
        <w:pStyle w:val="Pealkiri4"/>
        <w:keepNext w:val="0"/>
        <w:widowControl w:val="0"/>
        <w:spacing w:after="100" w:afterAutospacing="1"/>
        <w:rPr>
          <w:sz w:val="24"/>
          <w:szCs w:val="24"/>
        </w:rPr>
      </w:pPr>
      <w:r>
        <w:rPr>
          <w:sz w:val="24"/>
        </w:rPr>
        <w:t>Lõike D punkt 1 – avaldatav konto</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D punkti 1 kohaselt tähendab avaldatav konto kontot, mille omanik on üks või mitu avaldatavat isikut või passiivne NFE, millel on üks või mitu kontrollivat isikut, kes on avaldatavad isikud, kui see tuvastatakse sellisena II kuni VII osas kirjeldatud hoolsusmeetmete kohaselt.</w:t>
      </w:r>
    </w:p>
    <w:p w:rsidR="00010DDB" w:rsidRPr="00E74148" w:rsidRDefault="00010DDB" w:rsidP="00E74148">
      <w:pPr>
        <w:pStyle w:val="Pealkiri4"/>
        <w:keepNext w:val="0"/>
        <w:widowControl w:val="0"/>
        <w:spacing w:after="100" w:afterAutospacing="1"/>
        <w:rPr>
          <w:sz w:val="24"/>
          <w:szCs w:val="24"/>
        </w:rPr>
      </w:pPr>
      <w:r>
        <w:rPr>
          <w:sz w:val="24"/>
        </w:rPr>
        <w:t>Lõike D punktid 2 ja 3 – avaldatav isik ja avaldatava jurisdiktsiooni isik</w:t>
      </w:r>
    </w:p>
    <w:p w:rsidR="00010DDB" w:rsidRPr="00E74148" w:rsidRDefault="00010DDB" w:rsidP="00E74148">
      <w:pPr>
        <w:pStyle w:val="Pealkiri5"/>
        <w:widowControl w:val="0"/>
        <w:spacing w:after="100" w:afterAutospacing="1"/>
        <w:rPr>
          <w:sz w:val="24"/>
          <w:szCs w:val="24"/>
        </w:rPr>
      </w:pPr>
      <w:r>
        <w:rPr>
          <w:sz w:val="24"/>
        </w:rPr>
        <w:t>Avaldatava jurisdiktsiooni isik</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 xml:space="preserve">Üldjuhul tähendab avaldatava jurisdiktsiooni isik füüsilist isikut või ettevõtet, kes on avaldatava jurisdiktsiooni resident selle jurisdiktsiooni maksuseaduste kohaselt. Erandina käsitatakse ettevõtet, millel maksuresidentsus puudub (näiteks kuna seda käsitatakse maksualaselt läbipaistvana), selle jurisdiktsiooni, kus on selle ettevõtte tegelik juhtimiskoht, </w:t>
      </w:r>
      <w:r w:rsidR="00010DDB" w:rsidRPr="00B838D3">
        <w:rPr>
          <w:sz w:val="24"/>
        </w:rPr>
        <w:lastRenderedPageBreak/>
        <w:t>residendina.</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Riigisisestes õigustes käsitatakse partnerlust (sealhulgas piiratud vastutusega partnerlust) erinevalt. Mõnes jurisdiktsioonis käsitatakse partnerlust maksustatava üksusena (vahel isegi äriühinguna), kuid mõnes jurisdiktsioonis kehtib maksualaselt läbipaistev lähenemine, mille kohaselt partnerlust ei maksustata. Kui partnerlust käsitatakse äriühinguna või seda maksustatakse sarnaselt äriühinguga, loetakse, et partnerlus on selle avaldatava jurisdiktsiooni, kus partnerlust maksustatakse, resident. Kui aga avaldatavas jurisdiktsioonis käsitatakse partnerlust maksualaselt läbipaistvana, ei ole partnerlus selles jurisdiktsioonis maksustatav, mistõttu ei saa ta olla selle jurisdiktsiooni resident.</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D punkti 3 kohaselt käsitatakse ettevõtet, millel maksuresidentsus puudub (näiteks partnerlus, piiratud vastutusega partnerlus või muu sarnane õiguslik moodustis), selle jurisdiktsiooni, kus on selle ettevõtte tegelik juhtimiskoht, residendina. Juriidilist isikut või õiguslikku moodustist loetakse partnerluse või piiratud vastutusega partnerlusega sarnaseks, kui avaldatava jurisdiktsiooni maksuseaduste kohaselt ei käsitata seda maksustava üksusena. Kuid topeltaruandluse vältimiseks (arvestades kontrolliva isiku laia mõistet trustide puhul), ei tohi käsitada trusti, mis on passiivne NFE, sarnase õigusliku moodustisena.</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Tegelik juhtimiskoht on koht, kus tehakse sisuliselt kõige olulisemad juhtimist ja äritegevust puudutavad otsused, mis on vajalikud ettevõtte kui terviku äritegevuse toimimiseks. Tegeliku juhtimiskoha kindlakstegemiseks tuleb uurida kõiki asjassepuutuvaid fakte ja asjaolusid. Ettevõttel võib olla rohkem kui üks juhtimiskoht, aga korraga saab olla vaid üks tegelik juhtimiskoht.</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Avaldatava jurisdiktsiooni isiku mõiste hõlmab ka avaldatava jurisdiktsiooni residendist lahkunu pärandvara. Nagu on eespool punktis 92 mainitud, peab pärandvara mõiste tõlgendamisel vaatama igas jurisdiktsioonis kehtestatud konkreetseid eeskirju õiguste ja kohustuste ülemineku või pärimise kohta isiku surma korral (näiteks üldise pärimise eeskiri).</w:t>
      </w:r>
    </w:p>
    <w:p w:rsidR="00010DDB" w:rsidRPr="00E74148" w:rsidRDefault="00010DDB" w:rsidP="00E74148">
      <w:pPr>
        <w:pStyle w:val="Pealkiri5"/>
        <w:widowControl w:val="0"/>
        <w:spacing w:after="100" w:afterAutospacing="1"/>
        <w:rPr>
          <w:sz w:val="24"/>
          <w:szCs w:val="24"/>
        </w:rPr>
      </w:pPr>
      <w:r>
        <w:rPr>
          <w:sz w:val="24"/>
        </w:rPr>
        <w:t>Avaldatav isik</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D punkti 2 kohaselt tähendab avaldatav isik avaldatava jurisdiktsiooni isikut, kuid ei ole</w:t>
      </w:r>
    </w:p>
    <w:p w:rsidR="00010DDB" w:rsidRPr="00E74148" w:rsidRDefault="00010DDB" w:rsidP="005C33A2">
      <w:pPr>
        <w:pStyle w:val="Loendinumber"/>
        <w:widowControl w:val="0"/>
        <w:numPr>
          <w:ilvl w:val="0"/>
          <w:numId w:val="51"/>
        </w:numPr>
        <w:spacing w:after="100" w:afterAutospacing="1"/>
        <w:rPr>
          <w:sz w:val="24"/>
          <w:szCs w:val="24"/>
        </w:rPr>
      </w:pPr>
      <w:r>
        <w:rPr>
          <w:sz w:val="24"/>
        </w:rPr>
        <w:t>äriühing, mille aktsiate või osadega kaubeldakse korrapäraselt ühel või mitmel reguleeritud väärtpaberiturul;</w:t>
      </w:r>
    </w:p>
    <w:p w:rsidR="00010DDB" w:rsidRPr="00E74148" w:rsidRDefault="00010DDB" w:rsidP="005C33A2">
      <w:pPr>
        <w:pStyle w:val="Loendinumber"/>
        <w:widowControl w:val="0"/>
        <w:numPr>
          <w:ilvl w:val="0"/>
          <w:numId w:val="51"/>
        </w:numPr>
        <w:spacing w:after="100" w:afterAutospacing="1"/>
        <w:rPr>
          <w:sz w:val="24"/>
          <w:szCs w:val="24"/>
        </w:rPr>
      </w:pPr>
      <w:r>
        <w:rPr>
          <w:sz w:val="24"/>
        </w:rPr>
        <w:t>eelnevalt kirjeldatud äriühinguga seotud ettevõte;</w:t>
      </w:r>
    </w:p>
    <w:p w:rsidR="00010DDB" w:rsidRPr="00E74148" w:rsidRDefault="00010DDB" w:rsidP="005C33A2">
      <w:pPr>
        <w:pStyle w:val="Loendinumber"/>
        <w:widowControl w:val="0"/>
        <w:numPr>
          <w:ilvl w:val="0"/>
          <w:numId w:val="51"/>
        </w:numPr>
        <w:spacing w:after="100" w:afterAutospacing="1"/>
        <w:rPr>
          <w:sz w:val="24"/>
          <w:szCs w:val="24"/>
        </w:rPr>
      </w:pPr>
      <w:r>
        <w:rPr>
          <w:sz w:val="24"/>
        </w:rPr>
        <w:t>valitsuse hallatav ettevõte;</w:t>
      </w:r>
    </w:p>
    <w:p w:rsidR="00010DDB" w:rsidRPr="00E74148" w:rsidRDefault="00010DDB" w:rsidP="005C33A2">
      <w:pPr>
        <w:pStyle w:val="Loendinumber"/>
        <w:widowControl w:val="0"/>
        <w:numPr>
          <w:ilvl w:val="0"/>
          <w:numId w:val="51"/>
        </w:numPr>
        <w:spacing w:after="100" w:afterAutospacing="1"/>
        <w:rPr>
          <w:sz w:val="24"/>
          <w:szCs w:val="24"/>
        </w:rPr>
      </w:pPr>
      <w:r>
        <w:rPr>
          <w:sz w:val="24"/>
        </w:rPr>
        <w:t>rahvusvaheline organisatsioon;</w:t>
      </w:r>
    </w:p>
    <w:p w:rsidR="00010DDB" w:rsidRPr="00E74148" w:rsidRDefault="00010DDB" w:rsidP="005C33A2">
      <w:pPr>
        <w:pStyle w:val="Loendinumber"/>
        <w:widowControl w:val="0"/>
        <w:numPr>
          <w:ilvl w:val="0"/>
          <w:numId w:val="51"/>
        </w:numPr>
        <w:spacing w:after="100" w:afterAutospacing="1"/>
        <w:rPr>
          <w:sz w:val="24"/>
          <w:szCs w:val="24"/>
        </w:rPr>
      </w:pPr>
      <w:r>
        <w:rPr>
          <w:sz w:val="24"/>
        </w:rPr>
        <w:t>keskpank; ega</w:t>
      </w:r>
    </w:p>
    <w:p w:rsidR="00010DDB" w:rsidRPr="00E74148" w:rsidRDefault="00010DDB" w:rsidP="005C33A2">
      <w:pPr>
        <w:pStyle w:val="Loendinumber"/>
        <w:widowControl w:val="0"/>
        <w:numPr>
          <w:ilvl w:val="0"/>
          <w:numId w:val="51"/>
        </w:numPr>
        <w:spacing w:after="100" w:afterAutospacing="1"/>
        <w:rPr>
          <w:sz w:val="24"/>
          <w:szCs w:val="24"/>
        </w:rPr>
      </w:pPr>
      <w:r>
        <w:rPr>
          <w:sz w:val="24"/>
        </w:rPr>
        <w:t>finantsasutus.</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Kas lõike D punkti 2 alapunktis i kirjeldatud äriühing, mis on avaldatava jurisdiktsiooni isik, on avaldatav isik, sõltub sellest, kas selle äriühingu aktsiate või osadega kaubeldakse korrapäraselt ühel või mitmel reguleeritud väärtpaberiturul. Aktsiate või osadega kaubeldakse korrapäraselt, kui nendega kaubeldakse pidevalt märkimisväärses mahus, ja reguleeritud väärtpaberiturg tähendab turgu, mida tunnustatakse ametlikult ja mille üle teeb järelevalvet asjassepuutuv valitsusasutus ning kus igal aastal kaubeldakse märkimisväärse hulga aktsiate või osadega.</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lastRenderedPageBreak/>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Äriühingu aktsiate või osade liikidega toimub pidevalt märkimisväärses mahus kauplemine, kui (i) iga sellise liigiga kaubeldi, välja arvatud miinimumkogustes, ühel või mitmel reguleeritud väärtpaberiturul eelmise kalendriaasta jooksul vähemalt 60 tööpäeval, ja (ii) iga sellise liigi aktsiate või osade koguarv, millega eelmisel aastal sellisel turul või sellistel turgudel kaubeldi, moodustab vähemalt 10% eelmisel aastal ringluses olnud aktsiate või osade keskmisest arvust.</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Üldjuhul loetakse, et aktsiad või osad täidavad kalendriaastal korrapärase kauplemise nõuet, kui aktsiate või osadega kaubeldakse sel aastal reguleeritud väärtpaberiturul ja kauplejad, kes loovad aktsiate või osade turgu, noteerivad neid korrapäraselt. Kaupleja loob aktsiate või osade turgu vaid juhul, kui ta korrapäraselt ja aktiivselt pakub, et ta ostab klientidelt aktsiaid või osasid ja müüb neid klientidele, kes ei ole tavapärase äritegevuse raames kauplejaga seotud isikud, ning tegelikult ka seda teeb.</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Igal aastal kaubeldakse väärtpaberiturul märkimisväärse hulga aktsiate või osadega, kui igal aastal kaubeldakse turul (või selle eelkäijal) väärtuses, mis ületab 1 000 000 000 USA dollarit igal kolmel aastal, mis eelnevad vahetult kalendriaastale, mil sellist väärtust kindlaks tehakse. Kui väärtpaberiturul on mitu taset, kus aktsiaid või osasid võib eraldi loetleda või nendega kaubelda, tuleb iga sellist taset käsitada eraldi turuna.</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D punkti 2 alapunkti vi kohaselt ei hõlma avaldatava isiku mõiste finantsasutusi, kuna neil on oma aruandlus või nende puhul ei peeta tõenäoliseks, et neid kasutatakse maksudest kõrvalehoidumiseks. Seega ei ole neil aruandekohustust, välja arvatud lõike A punkti 6 alapunktis b kirjeldatud investeerimisettevõtete puhul, mis ei ole osaleva jurisdiktsiooni finantsasutused ja mida käsitatakse passiivsete NFE-dena, mistõttu on nad aruandekohustuslikud.</w:t>
      </w:r>
    </w:p>
    <w:p w:rsidR="00010DDB" w:rsidRPr="00E74148" w:rsidRDefault="00010DDB" w:rsidP="00E74148">
      <w:pPr>
        <w:pStyle w:val="Pealkiri4"/>
        <w:keepNext w:val="0"/>
        <w:widowControl w:val="0"/>
        <w:spacing w:after="100" w:afterAutospacing="1"/>
        <w:rPr>
          <w:sz w:val="24"/>
          <w:szCs w:val="24"/>
        </w:rPr>
      </w:pPr>
      <w:r>
        <w:rPr>
          <w:sz w:val="24"/>
        </w:rPr>
        <w:t>Lõike D punktid 4 ja 5 – avaldatavad ja osalevad jurisdiktsioonid</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Lõike D punktide 4 ja 5 kohaselt tähendavad avaldatav jurisdiktsioon ja osalev jurisdiktsioon järgmist:</w:t>
      </w:r>
    </w:p>
    <w:p w:rsidR="00010DDB" w:rsidRPr="00E74148" w:rsidRDefault="00010DDB" w:rsidP="00E74148">
      <w:pPr>
        <w:pStyle w:val="Loenditpp"/>
        <w:widowControl w:val="0"/>
        <w:spacing w:after="100" w:afterAutospacing="1"/>
        <w:rPr>
          <w:sz w:val="24"/>
          <w:szCs w:val="24"/>
        </w:rPr>
      </w:pPr>
      <w:r>
        <w:rPr>
          <w:sz w:val="24"/>
        </w:rPr>
        <w:t>avaldatav jurisdiktsioon tähendab jurisdiktsiooni, (i) millega on sõlmitud kokkulepe, mis kohustab edastama I osas sätestatud teavet, ja (ii) mis on nimetatud avaldatud loetelus;</w:t>
      </w:r>
    </w:p>
    <w:p w:rsidR="00010DDB" w:rsidRPr="00E74148" w:rsidRDefault="00010DDB" w:rsidP="00E74148">
      <w:pPr>
        <w:pStyle w:val="Loenditpp"/>
        <w:widowControl w:val="0"/>
        <w:spacing w:after="100" w:afterAutospacing="1"/>
        <w:rPr>
          <w:sz w:val="24"/>
          <w:szCs w:val="24"/>
        </w:rPr>
      </w:pPr>
      <w:r>
        <w:rPr>
          <w:sz w:val="24"/>
        </w:rPr>
        <w:t>osalev jurisdiktsioon tähendab jurisdiktsiooni, (i) millega on sõlmitud kokkulepe, mille kohaselt ta edastab I osas sätestatud teavet, ja (ii) mis on nimetatud avaldatud loetelus.</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Need mõisted on olulised, et määrata kindlaks finantsasutused, kellel on kohustus avaldada teavet, ja avaldamisele kuuluvad kontoomanikud, samuti on need olulised nõude puhul vaadata läbi professionaalselt juhitavad mitteosalevad investeerimisettevõtted. Kuigi need mõisted näivad sarnased, on neil märkimisväärne erinevus – osaleva jurisdiktsiooni mõiste määratleb jurisdiktsiooni, millega on sõlmitud kokkulepe finantskontodealase teabe (I osas sätestatud teabe) automaatse vahetuse kohta, aga avaldatava jurisdiktsiooni mõiste määratleb osaleva jurisdiktsiooni, millele on pandud kohustus edastada finantskontodealast teavet.</w:t>
      </w:r>
    </w:p>
    <w:p w:rsidR="00B838D3"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 xml:space="preserve">Lõike D punktid 4 ja 5 nõuavad, et jurisdiktsiooni nimetataks avaldatud loetelus vastavalt avaldatava jurisdiktsioonina ja osaleva jurisdiktsioonina. Iga jurisdiktsioon peab tegema sellise nimekirja avalikult kättesaadavaks ja seda vajadust mööda ajakohastama </w:t>
      </w:r>
      <w:r w:rsidR="00010DDB" w:rsidRPr="00B838D3">
        <w:rPr>
          <w:sz w:val="24"/>
        </w:rPr>
        <w:lastRenderedPageBreak/>
        <w:t>(näiteks iga kord, kui jurisdiktsioon allkirjastab finantskontodealase teabe automaatse vahetuse kokkuleppe või kui selline kokkulepe jõustub).</w:t>
      </w:r>
    </w:p>
    <w:p w:rsidR="00010DDB" w:rsidRPr="00B838D3"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B838D3">
        <w:rPr>
          <w:sz w:val="24"/>
          <w:szCs w:val="24"/>
        </w:rPr>
        <w:fldChar w:fldCharType="begin"/>
      </w:r>
      <w:r w:rsidR="00010DDB" w:rsidRPr="00B838D3">
        <w:rPr>
          <w:sz w:val="24"/>
          <w:szCs w:val="24"/>
        </w:rPr>
        <w:instrText>MACROBUTTON NUMBERING</w:instrText>
      </w:r>
      <w:r w:rsidRPr="00B838D3">
        <w:rPr>
          <w:sz w:val="24"/>
          <w:szCs w:val="24"/>
        </w:rPr>
        <w:fldChar w:fldCharType="end"/>
      </w:r>
      <w:r w:rsidR="00010DDB" w:rsidRPr="00B838D3">
        <w:rPr>
          <w:sz w:val="24"/>
        </w:rPr>
        <w:t>Järgnevad näited illustreerivad lõike D punktide 4 ja 5 kohaldamist.</w:t>
      </w:r>
    </w:p>
    <w:p w:rsidR="00010DDB" w:rsidRPr="00E74148" w:rsidRDefault="00010DDB" w:rsidP="00E74148">
      <w:pPr>
        <w:pStyle w:val="Loenditpp"/>
        <w:widowControl w:val="0"/>
        <w:spacing w:after="100" w:afterAutospacing="1"/>
        <w:rPr>
          <w:sz w:val="24"/>
          <w:szCs w:val="24"/>
        </w:rPr>
      </w:pPr>
      <w:r>
        <w:rPr>
          <w:sz w:val="24"/>
        </w:rPr>
        <w:t>Näide 1 (vastastikune vahetus). Jurisdiktsioon A ja jurisdiktsioon B on sõlminud finantskontodealase teabe vastastikuse automaatse vahetuse kokkuleppe. Kokkuleppe järgi on mõlemad jurisdiktsioonid kohustatud vahetama I osas sätestatud teavet. Kuna jurisdiktsioon A on sõlminud jurisdiktsiooniga B kokkuleppe, mis kohustab edastama I osas sätestatud teavet, on jurisdiktsioon B jurisdiktsiooni A seisukohast nii osalev jurisdiktsioon kui ka avaldatav jurisdiktsioon. Sama kehtib ka jurisdiktsiooni A kohta jurisdiktsiooni B seisukohast.</w:t>
      </w:r>
    </w:p>
    <w:p w:rsidR="00010DDB" w:rsidRPr="00E74148" w:rsidRDefault="00010DDB" w:rsidP="00E74148">
      <w:pPr>
        <w:pStyle w:val="Loenditpp"/>
        <w:widowControl w:val="0"/>
        <w:spacing w:after="100" w:afterAutospacing="1"/>
        <w:rPr>
          <w:sz w:val="24"/>
          <w:szCs w:val="24"/>
        </w:rPr>
      </w:pPr>
      <w:r>
        <w:rPr>
          <w:sz w:val="24"/>
        </w:rPr>
        <w:t>Näide 2 (mittevastastikune vahetus). Jurisdiktsioon X, mis ei ole tulumaksu kehtestanud, ja jurisdiktsioon Y on sõlminud finantskontodealase teabe mittevastastikuse automaatse vahetuse kokkuleppe. Kokkuleppe järgi on vaid jurisdiktsioon X kohustatud vahetama I osas sätestatud teavet. Kuna jurisdiktsioon X on sõlminud jurisdiktsiooniga Y kokkuleppe, mis kohustab edastama I osas sätestatud teavet, on jurisdiktsioon Y jurisdiktsiooni X seisukohast nii osalev jurisdiktsioon kui ka avaldatav jurisdiktsioon. Kuid kuna jurisdiktsioon Y on sõlminud jurisdiktsiooniga X kokkuleppe, kuid tal ei ole selle järgi kohustust edastada I osas sätestatud teavet, on jurisdiktsioon X jurisdiktsiooni Y seisukohast osalev jurisdiktsioon, kuid mitte avaldatav jurisdiktsioon.</w:t>
      </w:r>
    </w:p>
    <w:p w:rsidR="00010DDB" w:rsidRPr="00E74148" w:rsidRDefault="00010DDB" w:rsidP="00E74148">
      <w:pPr>
        <w:pStyle w:val="Pealkiri4"/>
        <w:keepNext w:val="0"/>
        <w:widowControl w:val="0"/>
        <w:spacing w:after="100" w:afterAutospacing="1"/>
        <w:rPr>
          <w:sz w:val="24"/>
          <w:szCs w:val="24"/>
        </w:rPr>
      </w:pPr>
      <w:r>
        <w:rPr>
          <w:sz w:val="24"/>
        </w:rPr>
        <w:t>Lõike D punktid 6 kuni 9 – NFE ja kontrolliv isik</w:t>
      </w:r>
    </w:p>
    <w:p w:rsidR="00010DDB" w:rsidRPr="00E74148" w:rsidRDefault="00010DDB" w:rsidP="00E74148">
      <w:pPr>
        <w:pStyle w:val="Pealkiri5"/>
        <w:widowControl w:val="0"/>
        <w:spacing w:after="100" w:afterAutospacing="1"/>
        <w:rPr>
          <w:sz w:val="24"/>
          <w:szCs w:val="24"/>
        </w:rPr>
      </w:pPr>
      <w:r>
        <w:rPr>
          <w:sz w:val="24"/>
        </w:rPr>
        <w:t>NFE, passiivne NFE ja aktiivne NFE</w:t>
      </w:r>
    </w:p>
    <w:p w:rsidR="00910CAA" w:rsidRPr="00910CAA"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10CAA">
        <w:rPr>
          <w:sz w:val="24"/>
          <w:szCs w:val="24"/>
        </w:rPr>
        <w:fldChar w:fldCharType="begin"/>
      </w:r>
      <w:r w:rsidR="00010DDB" w:rsidRPr="00910CAA">
        <w:rPr>
          <w:sz w:val="24"/>
          <w:szCs w:val="24"/>
        </w:rPr>
        <w:instrText>MACROBUTTON NUMBERING</w:instrText>
      </w:r>
      <w:r w:rsidRPr="00910CAA">
        <w:rPr>
          <w:sz w:val="24"/>
          <w:szCs w:val="24"/>
        </w:rPr>
        <w:fldChar w:fldCharType="end"/>
      </w:r>
      <w:r w:rsidR="00010DDB" w:rsidRPr="00910CAA">
        <w:rPr>
          <w:sz w:val="24"/>
        </w:rPr>
        <w:t>Lõike D punktides 6 kuni 9 määratletakse mõisted NFE, passiivne NFE, aktiivne NFE ja kontrolliv isik, mis on olulised selle jaoks, et teha kindlaks, kas ettevõte on passiivne NFE ühe või mitme kontrolliva isikuga, kes on avaldatavad isikud. Sellisel juhul tuleb kontot käsitada avaldatava kontona, nagu on kirjeldatud V osa lõike D punktis 2 ja VI osa lõike A punktis 2.</w:t>
      </w:r>
    </w:p>
    <w:p w:rsidR="00910CAA" w:rsidRPr="00910CAA"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10CAA">
        <w:rPr>
          <w:sz w:val="24"/>
          <w:szCs w:val="24"/>
        </w:rPr>
        <w:fldChar w:fldCharType="begin"/>
      </w:r>
      <w:r w:rsidR="00010DDB" w:rsidRPr="00910CAA">
        <w:rPr>
          <w:sz w:val="24"/>
          <w:szCs w:val="24"/>
        </w:rPr>
        <w:instrText>MACROBUTTON NUMBERING</w:instrText>
      </w:r>
      <w:r w:rsidRPr="00910CAA">
        <w:rPr>
          <w:sz w:val="24"/>
          <w:szCs w:val="24"/>
        </w:rPr>
        <w:fldChar w:fldCharType="end"/>
      </w:r>
      <w:r w:rsidR="00010DDB" w:rsidRPr="00910CAA">
        <w:rPr>
          <w:sz w:val="24"/>
        </w:rPr>
        <w:t>NFE on mittefinantsettevõtte akronüüm ja lõike D punkti 7 kohaselt tähendab see ettevõtet, mis ei ole finantsasutus. NFE võib olla kas passiivne NFE või aktiivne NFE. Lõike D punktides 8 ja 9 on sätestatud vastavalt passiivse NFE ja aktiivse NFE mõiste.</w:t>
      </w:r>
    </w:p>
    <w:p w:rsidR="00910CAA" w:rsidRPr="00910CAA"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10CAA">
        <w:rPr>
          <w:sz w:val="24"/>
          <w:szCs w:val="24"/>
        </w:rPr>
        <w:fldChar w:fldCharType="begin"/>
      </w:r>
      <w:r w:rsidR="00010DDB" w:rsidRPr="00910CAA">
        <w:rPr>
          <w:sz w:val="24"/>
          <w:szCs w:val="24"/>
        </w:rPr>
        <w:instrText>MACROBUTTON NUMBERING</w:instrText>
      </w:r>
      <w:r w:rsidRPr="00910CAA">
        <w:rPr>
          <w:sz w:val="24"/>
          <w:szCs w:val="24"/>
        </w:rPr>
        <w:fldChar w:fldCharType="end"/>
      </w:r>
      <w:r w:rsidR="00010DDB" w:rsidRPr="00910CAA">
        <w:rPr>
          <w:sz w:val="24"/>
        </w:rPr>
        <w:t>Põhimõtteliselt tähendab passiivne NFE NFE-d, mis ei ole aktiivne NFE. Kuid lõike D punkt 8 hõlmab ka lõike A punkti 6 alapunktis b kirjeldatud investeerimisettevõtet, mis ei ole osaleva jurisdiktsiooni finantsasutus. Selle tõttu peavad aruandekohustuslikud finantsasutused vaatama läbi sellist liiki investeerimisettevõtte, mida illustreerib järgmine näide. Jurisdiktsioon A on sõlminud finantskontodealase teabe vastastikuse automaatse vahetuse kokkuleppe jurisdiktsiooniga B, kuid mitte jurisdiktsiooniga C. Jurisdiktsiooni A aruandekohustuslik finantsasutus W haldab finantskontosid ettevõtete X ja Y, kes on mõlemad lõike A punkti 6 alapunktis b kirjeldatud investeerimisettevõtted, eest. Ettevõte X on jurisdiktsiooni B resident ja ettevõte Y on jurisdiktsiooni C resident. W seisukohast on ettevõte X osaleva jurisdiktsiooni finantsasutus ja ettevõte Y ei ole osaleva jurisdiktsiooni finantsasutus. Seega peab W käsitama ettevõtet Y passiivse NFE-na lõike D punkti 8 kohaselt.</w:t>
      </w:r>
    </w:p>
    <w:p w:rsidR="00010DDB" w:rsidRPr="00910CAA"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910CAA">
        <w:rPr>
          <w:sz w:val="24"/>
          <w:szCs w:val="24"/>
        </w:rPr>
        <w:fldChar w:fldCharType="begin"/>
      </w:r>
      <w:r w:rsidR="00010DDB" w:rsidRPr="00910CAA">
        <w:rPr>
          <w:sz w:val="24"/>
          <w:szCs w:val="24"/>
        </w:rPr>
        <w:instrText>MACROBUTTON NUMBERING</w:instrText>
      </w:r>
      <w:r w:rsidRPr="00910CAA">
        <w:rPr>
          <w:sz w:val="24"/>
          <w:szCs w:val="24"/>
        </w:rPr>
        <w:fldChar w:fldCharType="end"/>
      </w:r>
      <w:r w:rsidR="00010DDB" w:rsidRPr="00910CAA">
        <w:rPr>
          <w:sz w:val="24"/>
        </w:rPr>
        <w:t>Mis tahes NFE võib olla aktiivne NFE, kui ta vastab vähemalt ühele lõike D punktis 9 nimetatud kriteeriumidest. Kokkuvõtlikult on need kriteeriumid järgmised:</w:t>
      </w:r>
    </w:p>
    <w:p w:rsidR="00010DDB" w:rsidRPr="00E74148" w:rsidRDefault="00010DDB" w:rsidP="005C33A2">
      <w:pPr>
        <w:pStyle w:val="Loendinumber"/>
        <w:widowControl w:val="0"/>
        <w:numPr>
          <w:ilvl w:val="0"/>
          <w:numId w:val="52"/>
        </w:numPr>
        <w:spacing w:after="100" w:afterAutospacing="1"/>
        <w:rPr>
          <w:sz w:val="24"/>
          <w:szCs w:val="24"/>
        </w:rPr>
      </w:pPr>
      <w:r>
        <w:rPr>
          <w:sz w:val="24"/>
        </w:rPr>
        <w:lastRenderedPageBreak/>
        <w:t>NFE-d, mis on aktiivsed NFE-d tulu ja varade alusel;</w:t>
      </w:r>
    </w:p>
    <w:p w:rsidR="00010DDB" w:rsidRPr="00E74148" w:rsidRDefault="00010DDB" w:rsidP="005C33A2">
      <w:pPr>
        <w:pStyle w:val="Loendinumber"/>
        <w:widowControl w:val="0"/>
        <w:numPr>
          <w:ilvl w:val="0"/>
          <w:numId w:val="52"/>
        </w:numPr>
        <w:spacing w:after="100" w:afterAutospacing="1"/>
        <w:rPr>
          <w:sz w:val="24"/>
          <w:szCs w:val="24"/>
        </w:rPr>
      </w:pPr>
      <w:r>
        <w:rPr>
          <w:sz w:val="24"/>
        </w:rPr>
        <w:t>avalikult kaubeldavad NFE-d;</w:t>
      </w:r>
    </w:p>
    <w:p w:rsidR="00010DDB" w:rsidRPr="00E74148" w:rsidRDefault="00010DDB" w:rsidP="005C33A2">
      <w:pPr>
        <w:pStyle w:val="Loendinumber"/>
        <w:widowControl w:val="0"/>
        <w:numPr>
          <w:ilvl w:val="0"/>
          <w:numId w:val="52"/>
        </w:numPr>
        <w:spacing w:after="100" w:afterAutospacing="1"/>
        <w:rPr>
          <w:sz w:val="24"/>
          <w:szCs w:val="24"/>
        </w:rPr>
      </w:pPr>
      <w:r>
        <w:rPr>
          <w:sz w:val="24"/>
        </w:rPr>
        <w:t>valitsuse hallatavad ettevõtted, rahvusvahelised organisatsioonid, keskpangad või ettevõtted, mis on täielikult eelnimetatute omandis;</w:t>
      </w:r>
    </w:p>
    <w:p w:rsidR="00010DDB" w:rsidRPr="00E74148" w:rsidRDefault="00010DDB" w:rsidP="005C33A2">
      <w:pPr>
        <w:pStyle w:val="Loendinumber"/>
        <w:widowControl w:val="0"/>
        <w:numPr>
          <w:ilvl w:val="0"/>
          <w:numId w:val="52"/>
        </w:numPr>
        <w:spacing w:after="100" w:afterAutospacing="1"/>
        <w:rPr>
          <w:sz w:val="24"/>
          <w:szCs w:val="24"/>
        </w:rPr>
      </w:pPr>
      <w:r>
        <w:rPr>
          <w:sz w:val="24"/>
        </w:rPr>
        <w:t>valdus-NFE-d, mis on mittefinantsgrupi liikmed;</w:t>
      </w:r>
    </w:p>
    <w:p w:rsidR="00010DDB" w:rsidRPr="00E74148" w:rsidRDefault="00010DDB" w:rsidP="005C33A2">
      <w:pPr>
        <w:pStyle w:val="Loendinumber"/>
        <w:widowControl w:val="0"/>
        <w:numPr>
          <w:ilvl w:val="0"/>
          <w:numId w:val="52"/>
        </w:numPr>
        <w:spacing w:after="100" w:afterAutospacing="1"/>
        <w:rPr>
          <w:sz w:val="24"/>
          <w:szCs w:val="24"/>
        </w:rPr>
      </w:pPr>
      <w:r>
        <w:rPr>
          <w:sz w:val="24"/>
        </w:rPr>
        <w:t>idu-NFE-d;</w:t>
      </w:r>
    </w:p>
    <w:p w:rsidR="00010DDB" w:rsidRPr="00E74148" w:rsidRDefault="00010DDB" w:rsidP="005C33A2">
      <w:pPr>
        <w:pStyle w:val="Loendinumber"/>
        <w:widowControl w:val="0"/>
        <w:numPr>
          <w:ilvl w:val="0"/>
          <w:numId w:val="52"/>
        </w:numPr>
        <w:spacing w:after="100" w:afterAutospacing="1"/>
        <w:rPr>
          <w:sz w:val="24"/>
          <w:szCs w:val="24"/>
        </w:rPr>
      </w:pPr>
      <w:r>
        <w:rPr>
          <w:sz w:val="24"/>
        </w:rPr>
        <w:t>NFE-d, mis likvideeritakse või mis tulenevad pankrotist;</w:t>
      </w:r>
    </w:p>
    <w:p w:rsidR="00010DDB" w:rsidRPr="00E74148" w:rsidRDefault="00010DDB" w:rsidP="005C33A2">
      <w:pPr>
        <w:pStyle w:val="Loendinumber"/>
        <w:widowControl w:val="0"/>
        <w:numPr>
          <w:ilvl w:val="0"/>
          <w:numId w:val="52"/>
        </w:numPr>
        <w:spacing w:after="100" w:afterAutospacing="1"/>
        <w:rPr>
          <w:sz w:val="24"/>
          <w:szCs w:val="24"/>
        </w:rPr>
      </w:pPr>
      <w:r>
        <w:rPr>
          <w:sz w:val="24"/>
        </w:rPr>
        <w:t>riigikassa keskused, mis on mittefinantsgrupi liikmed; või</w:t>
      </w:r>
    </w:p>
    <w:p w:rsidR="00010DDB" w:rsidRPr="00E74148" w:rsidRDefault="00010DDB" w:rsidP="005C33A2">
      <w:pPr>
        <w:pStyle w:val="Loendinumber"/>
        <w:widowControl w:val="0"/>
        <w:numPr>
          <w:ilvl w:val="0"/>
          <w:numId w:val="52"/>
        </w:numPr>
        <w:spacing w:after="100" w:afterAutospacing="1"/>
        <w:rPr>
          <w:sz w:val="24"/>
          <w:szCs w:val="24"/>
        </w:rPr>
      </w:pPr>
      <w:r>
        <w:rPr>
          <w:sz w:val="24"/>
        </w:rPr>
        <w:t>mittetulundus-NFE-d.</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D punkti 9 alapunktis a kirjeldatakse kriteeriumi, mis tuleb täita, et NFE-d loetaks tulu ja varade alusel aktiivseks NFE-ks: alla 50% NFE eelmise kalendriaasta või muu asjakohase aruandlusperioodi brutotulust on passiivne tulu ja alla 50% NFE eelmise kalendriaasta või muu asjakohase aruandlusperioodi varadest on varad, mis toodavad passiivset tulu või mida hoitakse passiivse tulu tootmiseks.</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Selleks et teha kindlaks, mida mõeldakse passiivse tulu all, tuleb vaadata iga jurisdiktsiooni konkreetseid eeskirju. Üldjuhul loetakse, et passiivne tulu hõlmab brutotulu osa, mis koosneb</w:t>
      </w:r>
    </w:p>
    <w:p w:rsidR="00010DDB" w:rsidRPr="00E74148" w:rsidRDefault="00010DDB" w:rsidP="005C33A2">
      <w:pPr>
        <w:pStyle w:val="Loendinumber"/>
        <w:widowControl w:val="0"/>
        <w:numPr>
          <w:ilvl w:val="0"/>
          <w:numId w:val="53"/>
        </w:numPr>
        <w:spacing w:after="100" w:afterAutospacing="1"/>
        <w:rPr>
          <w:sz w:val="24"/>
          <w:szCs w:val="24"/>
        </w:rPr>
      </w:pPr>
      <w:r>
        <w:rPr>
          <w:sz w:val="24"/>
        </w:rPr>
        <w:t>dividendidest;</w:t>
      </w:r>
    </w:p>
    <w:p w:rsidR="00010DDB" w:rsidRPr="00E74148" w:rsidRDefault="00010DDB" w:rsidP="005C33A2">
      <w:pPr>
        <w:pStyle w:val="Loendinumber"/>
        <w:widowControl w:val="0"/>
        <w:numPr>
          <w:ilvl w:val="0"/>
          <w:numId w:val="53"/>
        </w:numPr>
        <w:spacing w:after="100" w:afterAutospacing="1"/>
        <w:rPr>
          <w:sz w:val="24"/>
          <w:szCs w:val="24"/>
        </w:rPr>
      </w:pPr>
      <w:r>
        <w:rPr>
          <w:sz w:val="24"/>
        </w:rPr>
        <w:t>intressist;</w:t>
      </w:r>
    </w:p>
    <w:p w:rsidR="00010DDB" w:rsidRPr="00E74148" w:rsidRDefault="00010DDB" w:rsidP="005C33A2">
      <w:pPr>
        <w:pStyle w:val="Loendinumber"/>
        <w:widowControl w:val="0"/>
        <w:numPr>
          <w:ilvl w:val="0"/>
          <w:numId w:val="53"/>
        </w:numPr>
        <w:spacing w:after="100" w:afterAutospacing="1"/>
        <w:rPr>
          <w:sz w:val="24"/>
          <w:szCs w:val="24"/>
        </w:rPr>
      </w:pPr>
      <w:r>
        <w:rPr>
          <w:sz w:val="24"/>
        </w:rPr>
        <w:t>intressiga võrdväärsest tulust;</w:t>
      </w:r>
    </w:p>
    <w:p w:rsidR="00010DDB" w:rsidRPr="00E74148" w:rsidRDefault="00010DDB" w:rsidP="005C33A2">
      <w:pPr>
        <w:pStyle w:val="Loendinumber"/>
        <w:widowControl w:val="0"/>
        <w:numPr>
          <w:ilvl w:val="0"/>
          <w:numId w:val="53"/>
        </w:numPr>
        <w:spacing w:after="100" w:afterAutospacing="1"/>
        <w:rPr>
          <w:sz w:val="24"/>
          <w:szCs w:val="24"/>
        </w:rPr>
      </w:pPr>
      <w:r>
        <w:rPr>
          <w:sz w:val="24"/>
        </w:rPr>
        <w:t>rendist ja kasutustasust, mis ei ole rent ega kasutustasu, mida saadakse aktiivsest äritegevusest, millega tegelevad NFE töötajad vähemalt osaliselt;</w:t>
      </w:r>
    </w:p>
    <w:p w:rsidR="00010DDB" w:rsidRPr="00E74148" w:rsidRDefault="00010DDB" w:rsidP="005C33A2">
      <w:pPr>
        <w:pStyle w:val="Loendinumber"/>
        <w:widowControl w:val="0"/>
        <w:numPr>
          <w:ilvl w:val="0"/>
          <w:numId w:val="53"/>
        </w:numPr>
        <w:spacing w:after="100" w:afterAutospacing="1"/>
        <w:rPr>
          <w:sz w:val="24"/>
          <w:szCs w:val="24"/>
        </w:rPr>
      </w:pPr>
      <w:r>
        <w:rPr>
          <w:sz w:val="24"/>
        </w:rPr>
        <w:t>annuiteetidest;</w:t>
      </w:r>
    </w:p>
    <w:p w:rsidR="00010DDB" w:rsidRPr="00E74148" w:rsidRDefault="00010DDB" w:rsidP="005C33A2">
      <w:pPr>
        <w:pStyle w:val="Loendinumber"/>
        <w:widowControl w:val="0"/>
        <w:numPr>
          <w:ilvl w:val="0"/>
          <w:numId w:val="53"/>
        </w:numPr>
        <w:spacing w:after="100" w:afterAutospacing="1"/>
        <w:rPr>
          <w:sz w:val="24"/>
          <w:szCs w:val="24"/>
        </w:rPr>
      </w:pPr>
      <w:r>
        <w:rPr>
          <w:sz w:val="24"/>
        </w:rPr>
        <w:t>finantsvarade müügist või vahetusest saadava tulu ja kahjumi vahest, mis on eespool kirjeldatud passiivse tulu alus;</w:t>
      </w:r>
    </w:p>
    <w:p w:rsidR="00010DDB" w:rsidRPr="00E74148" w:rsidRDefault="00010DDB" w:rsidP="005C33A2">
      <w:pPr>
        <w:pStyle w:val="Loendinumber"/>
        <w:widowControl w:val="0"/>
        <w:numPr>
          <w:ilvl w:val="0"/>
          <w:numId w:val="53"/>
        </w:numPr>
        <w:spacing w:after="100" w:afterAutospacing="1"/>
        <w:rPr>
          <w:sz w:val="24"/>
          <w:szCs w:val="24"/>
        </w:rPr>
      </w:pPr>
      <w:r>
        <w:rPr>
          <w:sz w:val="24"/>
        </w:rPr>
        <w:t xml:space="preserve">mis tahes finantsvaradega tehtud tehingutest (sealhulgas futuuridest, </w:t>
      </w:r>
      <w:r>
        <w:rPr>
          <w:i/>
          <w:sz w:val="24"/>
        </w:rPr>
        <w:t>forward</w:t>
      </w:r>
      <w:r>
        <w:rPr>
          <w:sz w:val="24"/>
        </w:rPr>
        <w:t>-lepingutest või optsioonidest ja muudest sarnastest tehingutest) saadava tulu ja kahjumi vahest;</w:t>
      </w:r>
    </w:p>
    <w:p w:rsidR="00010DDB" w:rsidRPr="00E74148" w:rsidRDefault="00010DDB" w:rsidP="005C33A2">
      <w:pPr>
        <w:pStyle w:val="Loendinumber"/>
        <w:widowControl w:val="0"/>
        <w:numPr>
          <w:ilvl w:val="0"/>
          <w:numId w:val="53"/>
        </w:numPr>
        <w:spacing w:after="100" w:afterAutospacing="1"/>
        <w:rPr>
          <w:sz w:val="24"/>
          <w:szCs w:val="24"/>
        </w:rPr>
      </w:pPr>
      <w:r>
        <w:rPr>
          <w:sz w:val="24"/>
        </w:rPr>
        <w:t>välisvaluutast saadava tulu ja kahjumi vahest;</w:t>
      </w:r>
    </w:p>
    <w:p w:rsidR="00010DDB" w:rsidRPr="00E74148" w:rsidRDefault="00010DDB" w:rsidP="005C33A2">
      <w:pPr>
        <w:pStyle w:val="Loendinumber"/>
        <w:widowControl w:val="0"/>
        <w:numPr>
          <w:ilvl w:val="0"/>
          <w:numId w:val="53"/>
        </w:numPr>
        <w:spacing w:after="100" w:afterAutospacing="1"/>
        <w:rPr>
          <w:sz w:val="24"/>
          <w:szCs w:val="24"/>
        </w:rPr>
      </w:pPr>
      <w:r>
        <w:rPr>
          <w:sz w:val="24"/>
        </w:rPr>
        <w:t>vahetuslepingutest saadavast puhastulust; või</w:t>
      </w:r>
    </w:p>
    <w:p w:rsidR="00010DDB" w:rsidRPr="00E74148" w:rsidRDefault="00010DDB" w:rsidP="005C33A2">
      <w:pPr>
        <w:pStyle w:val="Loendinumber"/>
        <w:widowControl w:val="0"/>
        <w:numPr>
          <w:ilvl w:val="0"/>
          <w:numId w:val="53"/>
        </w:numPr>
        <w:spacing w:after="100" w:afterAutospacing="1"/>
        <w:rPr>
          <w:sz w:val="24"/>
          <w:szCs w:val="24"/>
        </w:rPr>
      </w:pPr>
      <w:r>
        <w:rPr>
          <w:sz w:val="24"/>
        </w:rPr>
        <w:t>rahalise väärtusega kindlustuslepingute alusel saadud summadest.</w:t>
      </w:r>
    </w:p>
    <w:p w:rsidR="00010DDB" w:rsidRPr="00E74148" w:rsidRDefault="00010DDB" w:rsidP="00E74148">
      <w:pPr>
        <w:pStyle w:val="Kehatekst"/>
        <w:widowControl w:val="0"/>
        <w:spacing w:after="100" w:afterAutospacing="1"/>
        <w:rPr>
          <w:sz w:val="24"/>
          <w:szCs w:val="24"/>
        </w:rPr>
      </w:pPr>
      <w:r>
        <w:rPr>
          <w:sz w:val="24"/>
        </w:rPr>
        <w:t>Olenemata eelnimetatust ei hõlma passiivne tulu NFE, mis korrapäraselt tegutseb finantsvaradega kauplejana, korral mis tahes tulu mis tahes tehingust, mis on sõlmitud sellise kaupleja tavapärase äritegevuse käigus.</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NFE varade väärtus määratakse kindlaks varade õiglase turuhinna või bilansilise väärtuse alusel, mida kajastatakse NFE bilansis.</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D punkti 9 alapunktis b kirjeldatakse kriteeriumi, mis tuleb täita, et avalikult kaubeldavat NFE-d loetaks aktiivseks NFE-ks: NFE aktsiate või osadega kaubeldakse reguleeritud väärtpaberiturul korrapäraselt või NFE on seotud ettevõte sellele ettevõttele, mille aktsiate või osadega kaubeldakse reguleeritud väärtpaberiturul. Nagu on eespool punktis 112 mainitud, kaubeldakse aktsiate või osadega korrapäraselt, kui nendega kaubeldakse pidevalt märkimisväärses mahus, ja reguleeritud väärtpaberiturg tähendab turgu, mida tunnustatakse ametlikult ja mille üle teeb järelevalvet asjassepuutuv valitsusasutus ning kus igal aastal kaubeldakse märkimisväärsel hulgal aktsiate või osadega.</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lastRenderedPageBreak/>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D punkti 9 alapunktis d kirjeldatakse kriteeriumi, mis tuleb täita, et valdus-NFE-d, mis on mittefinantsgrupi liige, loetaks aktiivseks NFE-ks: sisuliselt kõik NFE tegevused kujutavad endast ühe või mitme kaubandusega või muu kui finantsasutuse äritegevusega tegeleva tütarettevõtte ringluses olevate aktsiate või osade täielikku või osalist omamist või ühele või mitmele sellisele tütarettevõttele rahastamise või muu teenuse osutamist; kuid ettevõte ei ole aktiivne ettevõte, kui see tegutseb investeerimisfondina (või reklaamib end investeerimisfondina), näiteks erakapitalifondi, riskikapitalifondi, finantsvõimendusega väljaostufondi või muu investeerimismehhanismina, mille eesmärk on omandada või rahastada äriühinguid ja seejärel nendes äriühingutes investeerimise eesmärgil osalust omada.</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Seoses lõike D punkti 9 alapunktis d nimetatud tegevustega tähendavad sõnad „sisuliselt kõik” 80%-i või enamat. Kui aga NFE valdus- või grupi rahastamistegevus moodustab alla 80% NFE tegevusest, kuid NFE saab ka aktiivset tulu (tulu, mis ei ole passiivne tulu), käsitatakse NFE-d aktiivse NFE-na, kui kõik tegevused kokku vastavad sõnade „sisuliselt kõik” tähendusele. Selleks et teha kindlaks, kas NFE tegevuse, mis ei ole omamine ega grupi rahastamistegevus, alusel käsitatakse NFE-d aktiivse NFE-na, võib kasutada lõike D punkti 9 alapunktis a ette nähtud testi. Näiteks kui valdusettevõtte osalus ja rahastamise või muu teenuse osutamine ühele või mitmele tütarettevõttele moodustab 60% ja grupi, kuhu ta kuulub, toodetud kaupade jaotuskeskusena tegutsemine moodustab 40% ning lõike D punkti 9 alapunkti a kohaselt on jaotuskeskusena tegutsemisest saadav tulu aktiivne tulu, on see ettevõte aktiivne NFE, olenemata asjaolust, et alla 80% tema tegevusest kujutab endast ühe või mitme tütarettevõtte ringluses olevate aktsiate või osade omamist või ühele või mitmele sellisele tütarettevõttele rahastamise või muu teenuse osutamist. Sõnad „sisuliselt kõik” hõlmavad ka ühe või mitme tütarettevõtte aktsiate või osade omamise või ühele või mitmele sellisele tütarettevõttele rahastamise või muu teenuse osutamise kombinatsiooni. Tütarettevõte tähendab mis tahes ettevõtet, mille ringluses olevad aktsiad või osad kuuluvad otseselt või kaudselt (täielikult või osaliselt) NFE-le.</w:t>
      </w:r>
    </w:p>
    <w:p w:rsidR="00010DDB"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4"/>
          <w:sz w:val="24"/>
          <w:szCs w:val="24"/>
        </w:rPr>
      </w:pPr>
      <w:r w:rsidRPr="007223F4">
        <w:rPr>
          <w:spacing w:val="-4"/>
          <w:sz w:val="24"/>
          <w:szCs w:val="24"/>
        </w:rPr>
        <w:fldChar w:fldCharType="begin"/>
      </w:r>
      <w:r w:rsidR="00010DDB" w:rsidRPr="007223F4">
        <w:rPr>
          <w:spacing w:val="-4"/>
          <w:sz w:val="24"/>
          <w:szCs w:val="24"/>
        </w:rPr>
        <w:instrText>MACROBUTTON NUMBERING</w:instrText>
      </w:r>
      <w:r w:rsidRPr="007223F4">
        <w:rPr>
          <w:spacing w:val="-4"/>
          <w:sz w:val="24"/>
          <w:szCs w:val="24"/>
        </w:rPr>
        <w:fldChar w:fldCharType="end"/>
      </w:r>
      <w:r w:rsidR="00010DDB" w:rsidRPr="007223F4">
        <w:rPr>
          <w:spacing w:val="-4"/>
          <w:sz w:val="24"/>
        </w:rPr>
        <w:t>Üks lõike D punkti 9 alapunktis h kirjeldatud nõuetest, et mittetulundus-NFE-d loetaks aktiivseks NFE-ks, on, et NFE residendijurisdiktsiooni õigus või NFE asutamisdokumendid ei võimalda NFE tulude või varade jaotamist või nende kasutamist füüsilise isiku või mitteheategevusliku ettevõtte kasuks, välja arvatud NFE heategevusliku tegevuse läbiviimiseks või mõistliku tasu maksmiseks saadud teenuste eest või õiglase turuhinna maksmiseks NFE ostetud vara eest. Lisaks võib NFE tulusid või varasid jaotada või kasutada füüsilise isiku või mitteheategevusliku ettevõtte kasuks mõistliku tasu maksmiseks vara kasutamise eest.</w:t>
      </w:r>
    </w:p>
    <w:p w:rsidR="00010DDB" w:rsidRPr="00E74148" w:rsidRDefault="00010DDB" w:rsidP="00E74148">
      <w:pPr>
        <w:pStyle w:val="Pealkiri5"/>
        <w:widowControl w:val="0"/>
        <w:spacing w:after="100" w:afterAutospacing="1"/>
        <w:rPr>
          <w:sz w:val="24"/>
          <w:szCs w:val="24"/>
        </w:rPr>
      </w:pPr>
      <w:r>
        <w:rPr>
          <w:sz w:val="24"/>
        </w:rPr>
        <w:t>Kontrolliv isik</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D punktis 6 sätestatakse kontrolliva isiku mõiste. See mõiste vastab rahapesuvastase töökonna soovituses nr 10 ja soovitust nr 10 tõlgendavas märkuses (soovituste 2012. aasta veebruaris vastu võetud redaktsioon)</w:t>
      </w:r>
      <w:r w:rsidR="00010DDB">
        <w:rPr>
          <w:sz w:val="24"/>
          <w:vertAlign w:val="superscript"/>
        </w:rPr>
        <w:footnoteReference w:id="13"/>
      </w:r>
      <w:r w:rsidR="00010DDB" w:rsidRPr="0026352C">
        <w:rPr>
          <w:sz w:val="24"/>
        </w:rPr>
        <w:t xml:space="preserve"> kirjeldatud tulusaava omaniku mõistele ning seda tuleb tõlgendada kooskõlas nende soovitustega, et kaitsta rahvusvahelist finantssüsteemi kuritarvituse eest, sealhulgas maksukuritegude eest.</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 xml:space="preserve">Juriidilisest isikust ettevõtte jaoks tähendab kontrolliv isik füüsilist isikut, kellel on kontroll ettevõtte üle. Kontroll ettevõtte üle on üldjuhul füüsilis(t)el isiku(te)l, kellel on </w:t>
      </w:r>
      <w:r w:rsidR="00010DDB" w:rsidRPr="0026352C">
        <w:rPr>
          <w:sz w:val="24"/>
        </w:rPr>
        <w:lastRenderedPageBreak/>
        <w:t>ettevõtte ülelõplik kontrolliv omandiõigus. Kontrolliv omandiõigus sõltub juriidilise isiku omandiõiguse struktuurist ja üldjuhul määratakse see kindlaks riskipõhist lähenemist kasutava läve alusel (näiteks iga isik, kellele kuulub teatud protsent, näiteks 25%, juriidilisest isikust). Kui ühelgi füüsilisel isikul ei ole kontrolli omandiõiguse alusel, on ettevõtet kontrolliv(ad) isik(ud) füüsiline isik (füüsilised isikud), kellel on ettevõtte üle kontroll muul viisil. Kui ei tuvastata, et füüsilis(t)el isiku(te)l on ettevõtte üle kontroll, on ettevõtet kontrolliv(ad) isik(ud) füüsiline isik (füüsilised isikud), kes on kõrgema juhtivametniku ametikohal.</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Trusti puhul tähendab kontrolliv isik trusti asutajat (asutajaid), haldajat (haldajaid), kaitsjat (kaitsjaid) (olemasolu korral), tulusaajat (tulusaajaid) või teatud tulusaajate liiki/liike ning muud füüsilist isikut (muid füüsilisi isikuid), kellel on tegelik lõplik võim trusti üle. Trusti asutajat (asutajaid), haldajat (haldajaid), kaitsjat (kaitsjaid) (olemasolu korral), tulusaajat (tulusaajaid) või teatud tulusaajate liiki/liike tuleb alati käsitada trusti kontrollivate isikutena olenemata sellest, kas kellelgi neist on trusti üle kontrolli või mitte. Sel põhjusel täiendab lõike D punkti 6 teine lause sama punkti esimest lauset. Lisaks tuleb trusti kontrolliva isikuna käsitada mis tahes füüsilist isikut, kellel on tegelik lõplik võim trusti üle (sealhulgas kontrolli- või omandiahela kaudu). Mis puudutab trusti konto(de)l olevate vahendite päritolu kindlakstegemist, kui trusti asutaja on ettevõte, siis peavad aruandekohustuslikud finantsasutused tuvastama ka asutajat kontrolliva isiku ja avaldama ta kui trusti kontrolliva isiku. Seoses trusti tulusaaja(te)ga, keda määratletakse tunnuste või liigi alusel, peavad aruandekohustuslikud finantsasutused hankima tulusaaja(te) kohta piisavat teavet, et aruandekohustuslik finantsasutus saaks olla kindel, et ta suudab tulusaaja(te) isikud kindlaks teha väljamakse tegemise aja seisuga või siis, kui tulusaaja kavatseb kasutada omandatud õigusi. See sündmus tähendab asjaolude muutumist, mille tagajärjel tuleb rakendada asjakohast menetlust. Ühtset aruandluse standardit rakendades võib jurisdiktsioon lubada aruandekohustuslikel finantsasutustel ühitada trusti tulusaajad, keda käsitatakse trusti kontrollivate isikutena, trusti tulusaajatega, keda käsitatakse trusti, mis on finantsasutus, avaldatavate isikutena (vt punkte 69–70 eespool).</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Trustist erineva õigusliku moodustise puhul tähendab kontrolliva isiku mõiste trusti kontrolliva isikuga sarnase või võrdväärse positsiooniga isikut. Seega, arvestades õiguslike moodustiste erinevaid vorme ja ülesehitusi, peavad aruandekohustuslikud finantsasutused tuvastama ja avaldama sarnase või võrdväärse positsiooniga isikuid kui isikuid, keda tuleb tuvastada ja avaldada trusti puhul.</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Seoses juriidiliste isikutega, kes funktsionaalselt sarnanevad trustidega (näiteks sihtasutused), peavad aruandekohustuslikud finantsasutused tuvastama kontrollivad isikud kliendiga seotud hoolsusmeetmete, mis sarnanevad trustidega seotud hoolsusmeetmetega, alusel, et tagada nõuetekohane aruandlus.</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Kui aruandekohustuslik finantsasutus tugineb rahapesu tõkestamise / klienditundmise põhimõtte alusel kogutud ja säilitatavale teabele, et teha kindlaks ettevõtte uue konto omanikku kontrollivad isikud (vt VI osa lõike A punkti 2 alapunkti b), peab rahapesu tõkestamise / klienditundmise põhimõte olema kooskõlas FATF-i soovitustega nr 10 ja 25 (2012. aasta veebruaris vastu võetud redaktsioonis), sealhulgas tuleb trusti asutajat alati käsitada trusti kontrolliva isikuna ja sihtasutuse asutajat sihtasutust kontrolliva isikuna. Selleks et teha kindlaks ettevõtte olemasoleva konto omanikku kontrollivad isikud (vt V osa lõike D punkti 2 alapunkti b), võib aruandekohustuslik finantsasutus tugineda teabele, mis on kogutud ja mida säilitatakse rahapesu tõkestamise / klienditundmise põhimõtte kohaselt.</w:t>
      </w:r>
    </w:p>
    <w:p w:rsidR="00010DDB" w:rsidRPr="00E74148" w:rsidRDefault="00010DDB" w:rsidP="00E74148">
      <w:pPr>
        <w:pStyle w:val="Pealkiri3"/>
        <w:keepNext w:val="0"/>
        <w:widowControl w:val="0"/>
        <w:spacing w:after="100" w:afterAutospacing="1"/>
        <w:rPr>
          <w:sz w:val="24"/>
          <w:szCs w:val="24"/>
        </w:rPr>
      </w:pPr>
      <w:bookmarkStart w:id="214" w:name="_Toc420331856"/>
      <w:bookmarkStart w:id="215" w:name="_Toc420331925"/>
      <w:r>
        <w:rPr>
          <w:sz w:val="24"/>
        </w:rPr>
        <w:t>Lõige E – mitmesugust</w:t>
      </w:r>
      <w:bookmarkEnd w:id="214"/>
      <w:bookmarkEnd w:id="215"/>
    </w:p>
    <w:p w:rsidR="00010DDB" w:rsidRPr="00E74148" w:rsidRDefault="00010DDB" w:rsidP="00E74148">
      <w:pPr>
        <w:pStyle w:val="Pealkiri4"/>
        <w:keepNext w:val="0"/>
        <w:widowControl w:val="0"/>
        <w:spacing w:after="100" w:afterAutospacing="1"/>
        <w:rPr>
          <w:sz w:val="24"/>
          <w:szCs w:val="24"/>
        </w:rPr>
      </w:pPr>
      <w:r>
        <w:rPr>
          <w:sz w:val="24"/>
        </w:rPr>
        <w:lastRenderedPageBreak/>
        <w:t>Lõike E punkt 1 – kontoomanik</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 xml:space="preserve">Lõike E punkti 1 kohaselt tähendab kontoomanik isikut, kelle on kontot haldav finantsasutus finantskonto omanikuna loetlenud või tuvastanud. Seda olenemata asjaolust, kas selline isik on </w:t>
      </w:r>
      <w:r w:rsidR="00010DDB" w:rsidRPr="0026352C">
        <w:rPr>
          <w:i/>
          <w:sz w:val="24"/>
        </w:rPr>
        <w:t>flow-through</w:t>
      </w:r>
      <w:r w:rsidR="00010DDB" w:rsidRPr="0026352C">
        <w:rPr>
          <w:sz w:val="24"/>
        </w:rPr>
        <w:t>-ettevõte. Seega näiteks kui finantskonto omanikuna on loetletud trust või pärandvara, on kontoomanik trust või pärandvara, mitte selle omanik või tulusaaja. Samamoodi on kontoomanik partnerlus, mitte partnerid, kui finantskonto omanikuna on loetletud partnerlus.</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Isikut, kes ei ole finantsasutus, kuid kes hoiab finantskontot teise isiku kasuks või nimel agendi, vara hoidja, volitatu, allkirjaõigusliku isiku, investeerimisnõustaja, vahendaja või eestkostjana, ei käsitata konto omanikuna lõike E punkti 1 kohaselt. Konto omanikuna käsitatakse hoopis nimetatud teist isikut. Aruandekohustuslik finantsasutus võib tugineda enda käsutuses olevale teabele (sealhulgas rahapesu tõkestamise / klienditundmise põhimõtte alusel kogutud teabele), mille alusel saab ta mõistlikult kindlaks teha, kas isik tegutseb teise isiku kasuks või nimel.</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Ühiskonto korral käsitatakse iga kaasomanikku kontoomanikuna selleks, et teha kindlaks, kas konto on avaldatav konto. Seega on konto avaldatav konto juhul, kui vähemalt üks kontoomanikest on avaldatav isik või passiivne NFE, millel on üks või mitu kontrollivat isikut, kes on avaldatavad isikud. Kui kaasomanikuks on mitu avaldatavat isikut, käsitatakse iga avaldatavat isikut kontoomanikuna ja talle omistatakse ühiskonto kogu jääk, sealhulgas seoses VII osa lõike C punktides 1 kuni 3 ette nähtud kontojäägi liitmise eeskirjadega.</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Rahalise väärtusega kindlustuslepingu või annuiteedilepingu puhul on kontoomanik isik, kellel on juurdepääsuõigus rahalisele väärtusele või kellel on õigus muuta lepingust kasu saavat isikut. Kui ühelgi isikul ei ole juurdepääsuõigust rahalisele väärtusele või õigust muuta lepingust kasu saavat isikut, siis on kontoomanik isik, keda on lepingus omanikuna nimetatud, ja isik, kellel on õigus väljamaksetele lepingutingimuste alusel. Rahalise väärtusega kindlustuslepingu või annuiteedilepingu tähtaja saabumisel (kui kohustus maksta lepingu alusel teatud summa muutub täidetavaks) käsitatakse kontoomanikuna iga isikut, kellel on lepingu alusel õigus väljamaksele.</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Järgnevad näited illustreerivad lõike E punkti 1 kohaldamist.</w:t>
      </w:r>
    </w:p>
    <w:p w:rsidR="00010DDB" w:rsidRPr="00E74148" w:rsidRDefault="00010DDB" w:rsidP="00E74148">
      <w:pPr>
        <w:pStyle w:val="Loenditpp"/>
        <w:widowControl w:val="0"/>
        <w:spacing w:after="100" w:afterAutospacing="1"/>
        <w:rPr>
          <w:sz w:val="24"/>
          <w:szCs w:val="24"/>
        </w:rPr>
      </w:pPr>
      <w:r>
        <w:rPr>
          <w:sz w:val="24"/>
        </w:rPr>
        <w:t>Näide 1 (kontoomanik on agent). Avaldatavast isikust U volitab F-i avama ja haldama U nimel hoiusekontot ning tegema kontole sissemakseid ja võtma kontolt raha välja. Kontojääk kalendriaastal on 100 000 USA dollarit. F on aruandekohustuslikus finantsasutuses loetletud hoiusekonto omanikuna, kuid kuna F haldab kontot agendina U kasuks, ei ole F-il õigust kontol olevatele vahenditele. Kuna loetakse, et hoiusekonto omanik on U, kes on avaldatav isik, on konto avaldatav konto.</w:t>
      </w:r>
    </w:p>
    <w:p w:rsidR="00010DDB" w:rsidRPr="00E74148" w:rsidRDefault="00010DDB" w:rsidP="00E74148">
      <w:pPr>
        <w:pStyle w:val="Loenditpp"/>
        <w:widowControl w:val="0"/>
        <w:spacing w:after="100" w:afterAutospacing="1"/>
        <w:rPr>
          <w:sz w:val="24"/>
          <w:szCs w:val="24"/>
        </w:rPr>
      </w:pPr>
      <w:r>
        <w:rPr>
          <w:sz w:val="24"/>
        </w:rPr>
        <w:t>Näide 2 (ühiskontod). Avaldataval isikul U-l on aruandekohustuslikus finantsasutuses hoiusekonto. Kontojääk kalendriaastal on 100 000 USA dollarit. Konto on ühisomandis A-ga, kes on füüsiline isik, kes ei ole avaldatav isik. Kuna üks kaasomanikest on avaldatav isik, on konto avaldatav konto.</w:t>
      </w:r>
    </w:p>
    <w:p w:rsidR="00010DDB" w:rsidRPr="00E74148" w:rsidRDefault="00010DDB" w:rsidP="00E74148">
      <w:pPr>
        <w:pStyle w:val="Loenditpp"/>
        <w:widowControl w:val="0"/>
        <w:spacing w:after="100" w:afterAutospacing="1"/>
        <w:rPr>
          <w:sz w:val="24"/>
          <w:szCs w:val="24"/>
        </w:rPr>
      </w:pPr>
      <w:r>
        <w:rPr>
          <w:sz w:val="24"/>
        </w:rPr>
        <w:t>Näide 3 (ühiskontod). Avaldatavatel isikutel U-l ja Q-l on aruandekohustuslikus finantsasutuses hoiusekonto. Kontojääk kalendriaastal on 100 000 USA dollarit. Konto on avaldatav konto ja nii U-d kui ka Q-d käsitatakse kontoomanikena.</w:t>
      </w:r>
    </w:p>
    <w:p w:rsidR="00010DDB" w:rsidRPr="00E74148" w:rsidRDefault="00010DDB" w:rsidP="00E74148">
      <w:pPr>
        <w:pStyle w:val="Pealkiri4"/>
        <w:keepNext w:val="0"/>
        <w:widowControl w:val="0"/>
        <w:spacing w:after="100" w:afterAutospacing="1"/>
        <w:rPr>
          <w:sz w:val="24"/>
          <w:szCs w:val="24"/>
        </w:rPr>
      </w:pPr>
      <w:r>
        <w:rPr>
          <w:sz w:val="24"/>
        </w:rPr>
        <w:t>Lõike E punkt 2 – rahapesu tõkestamise / klienditundmise põhimõte</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lastRenderedPageBreak/>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E punkti 2 kohaselt tähendab rahapesu tõkestamise / klienditundmise põhimõte aruandekohustusliku finantsasutuse hoolsusmeetmeid, mida see on kohustatud võtma oma klientide suhtes rahapesuvastaste või muude sarnaste nõuete alusel (näiteks klienditundmise nõuded). Need meetmed hõlmavad kliendi (sealhulgas kliendi tulusaaja) isiku kindlakstegemist ja kontrollimist, konto olemuse ja eesmärgi mõistmist ning pidevat jälgimist.</w:t>
      </w:r>
    </w:p>
    <w:p w:rsidR="00010DDB" w:rsidRPr="00E74148" w:rsidRDefault="00010DDB" w:rsidP="00E74148">
      <w:pPr>
        <w:pStyle w:val="Pealkiri4"/>
        <w:keepNext w:val="0"/>
        <w:widowControl w:val="0"/>
        <w:spacing w:after="100" w:afterAutospacing="1"/>
        <w:rPr>
          <w:sz w:val="24"/>
          <w:szCs w:val="24"/>
        </w:rPr>
      </w:pPr>
      <w:r>
        <w:rPr>
          <w:sz w:val="24"/>
        </w:rPr>
        <w:t>Lõike E punktid 3 ja 4 – ettevõte ja seotud ettevõte</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E punkti 3 kohaselt tähendab ettevõte juriidilist isikut või muud õiguslikku moodustist. Mõiste hõlmab lisaks õiguslikule moodustisele iga isikut, kes ei ole füüsiline isik. Seega kuuluvad näiteks aktsiaselts, partnerlus, trust, fideikomiss, sihtasutus (</w:t>
      </w:r>
      <w:r w:rsidR="00010DDB" w:rsidRPr="0026352C">
        <w:rPr>
          <w:i/>
          <w:sz w:val="24"/>
        </w:rPr>
        <w:t>fondation</w:t>
      </w:r>
      <w:r w:rsidR="00010DDB" w:rsidRPr="0026352C">
        <w:rPr>
          <w:sz w:val="24"/>
        </w:rPr>
        <w:t xml:space="preserve">, </w:t>
      </w:r>
      <w:r w:rsidR="00010DDB" w:rsidRPr="0026352C">
        <w:rPr>
          <w:i/>
          <w:sz w:val="24"/>
        </w:rPr>
        <w:t>Stiftung</w:t>
      </w:r>
      <w:r w:rsidR="00010DDB" w:rsidRPr="0026352C">
        <w:rPr>
          <w:sz w:val="24"/>
        </w:rPr>
        <w:t xml:space="preserve">), äriühing, kooperatiivühing, ühing või </w:t>
      </w:r>
      <w:r w:rsidR="00010DDB" w:rsidRPr="0026352C">
        <w:rPr>
          <w:i/>
          <w:sz w:val="24"/>
        </w:rPr>
        <w:t>asociación en participación</w:t>
      </w:r>
      <w:r w:rsidR="00010DDB" w:rsidRPr="0026352C">
        <w:rPr>
          <w:sz w:val="24"/>
        </w:rPr>
        <w:t xml:space="preserve"> ettevõtte mõiste alla.</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E punkti 4 kohaselt on ettevõte teise ettevõttega seotud ettevõte, kui üks ettevõte kontrollib teist ettevõtet või kui mõlemad ettevõtted alluvad ühisele kontrollile. Kontroll tähendab otsest või kaudset omandiõigust rohkem kui 50 protsendile ettevõtte väärtusest või hääleõigusest. Asjaolu, kas ettevõte on teise ettevõttega seotud ettevõte, on oluline seoses VII osa lõikes C ette nähtud kontojäägi liitmise eeskirjadega, lõike D punkti 2 alapunktis ii kirjeldatud avaldatava isiku mõiste ulatusega ja lõike D punkti 9 alapunktis b kirjeldatud kriteeriumiga, millele NFE saab vastata, et olla aktiivne NFE.</w:t>
      </w:r>
    </w:p>
    <w:p w:rsidR="00010DDB" w:rsidRPr="00E74148" w:rsidRDefault="00010DDB" w:rsidP="00E74148">
      <w:pPr>
        <w:pStyle w:val="Pealkiri4"/>
        <w:keepNext w:val="0"/>
        <w:widowControl w:val="0"/>
        <w:spacing w:after="100" w:afterAutospacing="1"/>
        <w:rPr>
          <w:sz w:val="24"/>
          <w:szCs w:val="24"/>
        </w:rPr>
      </w:pPr>
      <w:r>
        <w:rPr>
          <w:sz w:val="24"/>
        </w:rPr>
        <w:t>Lõike E punkt 5 – TIN</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E punkti 5 kohaselt tähendab TIN maksukohustuslase identifitseerimisnumbrit (maksukohustuslase identifitseerimisnumbri puudumisel selle toimivat ekvivalenti). Maksukohustuslase identifitseerimisnumber on tähtede ja numbrite unikaalne kombinatsioon, mida on kirjeldatud kuidas tahes ja mille jurisdiktsioon on määranud füüsilisele isikule või ettevõttele ning mida kasutatakse füüsilise isiku või ettevõtte tuvastamiseks seoses selle jurisdiktsiooni maksuseaduste kohaldamisega.</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TIN-id on kasulikud ka teistesse jurisdiktsioonidesse investeerivate maksukohustuslaste kindlakstegemiseks. TIN-i üksikasjad (struktuuri, süntaksi jne) määravad iga jurisdiktsiooni maksuhaldurid. Mõnes jurisdiktsioonis on eri maksude või eri liiki maksumaksjate (näiteks residentide ja mitteresidentide) jaoks erinev TIN-i struktuur.</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Kuigi paljud jurisdiktsioonid kasutavad TIN-i füüsiliste isikute või ettevõtete maksustamise eesmärgil, on ka jurisdiktsioone, kus TIN-e ei väljastata. Kuid need jurisdiktsioonid kasutavad tihtipeale muud numbrit, mida saab isiku tuvastamiseks võrdväärselt kasutada (toimiv ekvivalent). Sellised numbrid on füüsiliste isikute puhul näiteks sotsiaalkindlustus-/kindlustusnumber, kodaniku-/isiku-/teenuskood/-number ja residendi registreerimisnumber ning ettevõtete puhul ettevõtte/äriühingu registreerimiskood/-number.</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Eeldatakse, et osalevad jurisdiktsioonid annavad aruandekohustuslikele finantsasutustele vajalikus ulatuses teavet maksukohustuslaste identifitseerimisnumbrite väljastamise, kogumise, struktuuri ja muude üksikasjade kohta. OECD teeb jõupingutusi selle levitamise hõlbustamiseks. Selline teave aitab aruandekohustuslikel finantsasutustel koguda korrektseid TIN-e.</w:t>
      </w:r>
    </w:p>
    <w:p w:rsidR="00010DDB" w:rsidRPr="00E74148" w:rsidRDefault="00010DDB" w:rsidP="00E74148">
      <w:pPr>
        <w:pStyle w:val="Pealkiri4"/>
        <w:keepNext w:val="0"/>
        <w:widowControl w:val="0"/>
        <w:spacing w:after="100" w:afterAutospacing="1"/>
        <w:rPr>
          <w:sz w:val="24"/>
          <w:szCs w:val="24"/>
        </w:rPr>
      </w:pPr>
      <w:r>
        <w:rPr>
          <w:sz w:val="24"/>
        </w:rPr>
        <w:t>Lõike E punkt 6 – dokumentaalsed tõendid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lastRenderedPageBreak/>
        <w:fldChar w:fldCharType="begin"/>
      </w:r>
      <w:r w:rsidR="00010DDB">
        <w:rPr>
          <w:sz w:val="24"/>
          <w:szCs w:val="24"/>
        </w:rPr>
        <w:instrText>MACROBUTTON NUMBERING</w:instrText>
      </w:r>
      <w:r w:rsidRPr="00E74148">
        <w:rPr>
          <w:sz w:val="24"/>
          <w:szCs w:val="24"/>
        </w:rPr>
        <w:fldChar w:fldCharType="end"/>
      </w:r>
      <w:r w:rsidR="00010DDB">
        <w:rPr>
          <w:sz w:val="24"/>
        </w:rPr>
        <w:t>Lõike E punktis 6 kirjeldatakse, mida loetakse dokumentaalseteks tõenditeks seoses II kuni VII osas kirjeldatud hoolsusmeetmetega. Dokumentaalsed tõendid tähendavad alljärgnevat:</w:t>
      </w:r>
    </w:p>
    <w:p w:rsidR="00010DDB" w:rsidRPr="00E74148" w:rsidRDefault="00010DDB" w:rsidP="005C33A2">
      <w:pPr>
        <w:pStyle w:val="Loendinumber"/>
        <w:widowControl w:val="0"/>
        <w:numPr>
          <w:ilvl w:val="0"/>
          <w:numId w:val="54"/>
        </w:numPr>
        <w:spacing w:after="100" w:afterAutospacing="1"/>
        <w:rPr>
          <w:sz w:val="24"/>
          <w:szCs w:val="24"/>
        </w:rPr>
      </w:pPr>
      <w:r>
        <w:rPr>
          <w:sz w:val="24"/>
        </w:rPr>
        <w:t>residentsuse tõend, mille on välja andnud väljamakse saaja väidetava residendijurisdiktsiooni volitatud valitsusasutus (näiteks valitsus või selle allasutus või kohalik omavalitsus);</w:t>
      </w:r>
    </w:p>
    <w:p w:rsidR="00010DDB" w:rsidRPr="00E74148" w:rsidRDefault="00010DDB" w:rsidP="005C33A2">
      <w:pPr>
        <w:pStyle w:val="Loendinumber"/>
        <w:widowControl w:val="0"/>
        <w:numPr>
          <w:ilvl w:val="0"/>
          <w:numId w:val="54"/>
        </w:numPr>
        <w:spacing w:after="100" w:afterAutospacing="1"/>
        <w:rPr>
          <w:sz w:val="24"/>
          <w:szCs w:val="24"/>
        </w:rPr>
      </w:pPr>
      <w:r>
        <w:rPr>
          <w:sz w:val="24"/>
        </w:rPr>
        <w:t>füüsilise isiku puhul kehtiv isikutunnistus, mille on välja andnud volitatud valitsusasutus (näiteks valitsus või selle allasutus või kohalik omavalitsus) ning millel on toodud isiku nimi ja mida tavaliselt kasutatakse isiku tuvastamiseks;</w:t>
      </w:r>
    </w:p>
    <w:p w:rsidR="00010DDB" w:rsidRPr="00E74148" w:rsidRDefault="00010DDB" w:rsidP="005C33A2">
      <w:pPr>
        <w:pStyle w:val="Loendinumber"/>
        <w:widowControl w:val="0"/>
        <w:numPr>
          <w:ilvl w:val="0"/>
          <w:numId w:val="54"/>
        </w:numPr>
        <w:spacing w:after="100" w:afterAutospacing="1"/>
        <w:rPr>
          <w:sz w:val="24"/>
          <w:szCs w:val="24"/>
        </w:rPr>
      </w:pPr>
      <w:r>
        <w:rPr>
          <w:sz w:val="24"/>
        </w:rPr>
        <w:t>ettevõtte puhul mis tahes ametlik tõend, mille on välja andnud volitatud valitsusasutus (näiteks valitsus või selle allasutus või kohalik omavalitsus) ning millel on toodud ettevõtte nimi ja selle peakontori aadress jurisdiktsioonis, mille resident see väidab end olevat või jurisdiktsioon, kus ettevõte on asutatud või moodustatud;</w:t>
      </w:r>
    </w:p>
    <w:p w:rsidR="00010DDB" w:rsidRPr="00E74148" w:rsidRDefault="00010DDB" w:rsidP="005C33A2">
      <w:pPr>
        <w:pStyle w:val="Loendinumber"/>
        <w:widowControl w:val="0"/>
        <w:numPr>
          <w:ilvl w:val="0"/>
          <w:numId w:val="54"/>
        </w:numPr>
        <w:spacing w:after="100" w:afterAutospacing="1"/>
        <w:rPr>
          <w:sz w:val="24"/>
          <w:szCs w:val="24"/>
        </w:rPr>
      </w:pPr>
      <w:r>
        <w:rPr>
          <w:sz w:val="24"/>
        </w:rPr>
        <w:t>auditeeritud raamatupidamise aastaaruanne, kolmanda isiku krediidiraport, pankrotiavaldus või väärtpaberiinspektsiooni raport.</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Kuigi aruandekohustuslik finantsasutus võib tugineda dokumentaalsetele tõenditele, välja arvatud juhul, kui ta teab või kui tal on alust arvata, et tõendid ei ole õiged või usaldusväärsed (vt VII osa kommentaaride punkte 2–3), eeldatakse, et eelistatakse tõendit, mis on muudest dokumentaalsetest tõenditest uuem või konkreetsem.</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Lõike E punkti 6 alapunktis a viidatakse residentsuse tõendile, mille on välja andnud väljamakse saaja väidetava residendijurisdiktsiooni volitatud valitsusasutus. Selline tõend on näiteks residentsuse tõend maksustamise eesmärgil (see näitab näiteks, et kontoomanik on esitanud kõige viimase tuludeklaratsiooni selle jurisdiktsiooni residendina); teave residentsuse kohta, mille on avaldanud jurisdiktsiooni volitatud valitsusasutus, näiteks maksuhalduri avaldatud nimekiri, mis sisaldab maksukohustuslaste nimesid ja residentsusi; ja teave residentsuse kohta avalikult juurdepääsetavas registris, mida haldab või volitab jurisdiktsiooni volitatud valitsusasutus, näiteks maksuhalduri peetav avalik register.</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Üks lõike E punkti 6 alapunktis c kirjeldatud nõuetest on, et ametlikul dokumendil oleks toodud kas ettevõtte peakontori aadress jurisdiktsioonis, mille resident see väidab end olevat, või jurisdiktsioon, kus ettevõte on asutatud või moodustatud. Ettevõtte peakontori aadress on üldjuhul koht, kus asub selle tegelik juhtimiskoht (vt punkti 109 eespool). Finantsasutuse, mis haldab ettevõtte kontot, aadress, postkontori postkast või aadress, mida kasutatakse üksnes postiaadressina, ei ole ettevõtte peakontori aadress, välja arvatud juhul, kui see on ainuke aadress, mida ettevõte kasutab ja mis on ettevõtte asutamisdokumentides toodud ettevõtte registrijärgse asukohana. Samuti ei ole ettevõtte peakontori aadressiks aadress, mille kohta on antud juhised posti mittesaatmiseks.</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 xml:space="preserve">Selleks et seoses ettevõtte olemasoleva kontoga tugineda väljakujunenud praktikale, võib iga jurisdiktsioon lubada aruandekohustuslikel finantsasutustel kasutada dokumentaalse tõendina aruandekohustusliku finantsasutuse toimikutes sisalduvat kontoomaniku liigitust, mis määrati kindlaks tegevusala normitud kodeerimissüsteemi alusel ja mille aruandekohustuslik finantsasutus dokumenteeris kooskõlas oma tavapärase praktikaga seoses rahapesu tõkestamise / klienditundmise põhimõttega või muul regulatiivsel eesmärgil (mitte seoses maksustamisega) ning mille aruandekohustuslik finantsasutus kehtestas enne kuupäeva, mille alusel liigitati finantskonto olemasoleva kontona, eeldusel et aruandekohustuslik finantsasutus ei tea ja tal ei ole alust arvata, et selline liigitus ei ole õige </w:t>
      </w:r>
      <w:r w:rsidR="00010DDB" w:rsidRPr="0026352C">
        <w:rPr>
          <w:sz w:val="24"/>
        </w:rPr>
        <w:lastRenderedPageBreak/>
        <w:t>või usaldusväärne. Tegevusala normitud kodeerimissüsteem tähendab kodeerimissüsteemi, mida kasutatakse ettevõtete liigitamiseks äritegevuse liigi alusel muul kui maksustamise eesmärgil. Tegevusala normitud kodeerimissüsteem on näiteks ÜRO rahvusvaheline majanduse tegevusalade klassifikaator (ISIC), Euroopa Ühenduse majanduse tegevusalade statistiline klassifikaator (NACE) ja Põhja-Ameerika tegevusalade klassifitseerimise süsteem (NAICS).</w:t>
      </w:r>
    </w:p>
    <w:p w:rsidR="00010DDB" w:rsidRPr="00E74148" w:rsidRDefault="00010DDB" w:rsidP="00E74148">
      <w:pPr>
        <w:pStyle w:val="Pealkiri5"/>
        <w:widowControl w:val="0"/>
        <w:spacing w:after="100" w:afterAutospacing="1"/>
        <w:rPr>
          <w:sz w:val="24"/>
          <w:szCs w:val="24"/>
        </w:rPr>
      </w:pPr>
      <w:r>
        <w:rPr>
          <w:sz w:val="24"/>
        </w:rPr>
        <w:t>Dokumentaalsete tõendite kehtivuse tingimused</w:t>
      </w:r>
    </w:p>
    <w:p w:rsidR="00010DDB" w:rsidRPr="00E74148"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Aegumiskuupäeva sisaldavaid dokumentaalseid tõendeid võib käsitada kehtivatena kas nimetatud aegumiskuupäeval või viienda kalendriaasta viimasel päeval pärast aastat, mil dokumentaalsed tõendid aruandekohustuslikule finantsasutusele esitati, kumb tahes kuupäevadest on hilisem. Kuid loetakse, et järgmised dokumentaalsed tõendid kehtivad määramata aja:</w:t>
      </w:r>
    </w:p>
    <w:p w:rsidR="00010DDB" w:rsidRPr="00E74148" w:rsidRDefault="00010DDB" w:rsidP="00E74148">
      <w:pPr>
        <w:pStyle w:val="Loenditpp"/>
        <w:widowControl w:val="0"/>
        <w:spacing w:after="100" w:afterAutospacing="1"/>
        <w:rPr>
          <w:sz w:val="24"/>
          <w:szCs w:val="24"/>
        </w:rPr>
      </w:pPr>
      <w:r>
        <w:rPr>
          <w:sz w:val="24"/>
        </w:rPr>
        <w:t>volitatud valitsusasutuse väljastatud dokumentaalsed tõendid (näiteks pass);</w:t>
      </w:r>
    </w:p>
    <w:p w:rsidR="00010DDB" w:rsidRPr="00E74148" w:rsidRDefault="00010DDB" w:rsidP="00E74148">
      <w:pPr>
        <w:pStyle w:val="Loenditpp"/>
        <w:widowControl w:val="0"/>
        <w:spacing w:after="100" w:afterAutospacing="1"/>
        <w:rPr>
          <w:sz w:val="24"/>
          <w:szCs w:val="24"/>
        </w:rPr>
      </w:pPr>
      <w:r>
        <w:rPr>
          <w:sz w:val="24"/>
        </w:rPr>
        <w:t>dokumentaalsed tõendid, mida üldjuhul ei uuendata ega muudeta (näiteks asutamisdokument); või</w:t>
      </w:r>
    </w:p>
    <w:p w:rsidR="00010DDB" w:rsidRPr="00E74148" w:rsidRDefault="00010DDB" w:rsidP="00E74148">
      <w:pPr>
        <w:pStyle w:val="Loenditpp"/>
        <w:widowControl w:val="0"/>
        <w:spacing w:after="100" w:afterAutospacing="1"/>
        <w:rPr>
          <w:sz w:val="24"/>
          <w:szCs w:val="24"/>
        </w:rPr>
      </w:pPr>
      <w:r>
        <w:rPr>
          <w:sz w:val="24"/>
        </w:rPr>
        <w:t>dokumentaalsed tõendid, mille on esitanud mittearuandekohustuslik finantsasutus või avaldatava jurisdiktsiooni isik, kes ei ole avaldatav isik.</w:t>
      </w:r>
    </w:p>
    <w:p w:rsidR="00010DDB" w:rsidRPr="00E74148" w:rsidRDefault="00010DDB" w:rsidP="00E74148">
      <w:pPr>
        <w:pStyle w:val="Kehatekst"/>
        <w:widowControl w:val="0"/>
        <w:spacing w:after="100" w:afterAutospacing="1"/>
        <w:rPr>
          <w:sz w:val="24"/>
          <w:szCs w:val="24"/>
        </w:rPr>
      </w:pPr>
      <w:r>
        <w:rPr>
          <w:sz w:val="24"/>
        </w:rPr>
        <w:t>Kõik muud dokumentaalsed tõendid kehtivad kuni viienda kalendriaasta viimase päevani pärast aastat, mil dokumentaalsed tõendid aruandekohustuslikule finantsasutusele esitati.</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Olenemata kehtivusaegadest ei tohi aruandekohustuslik finantsasutus VII osa lõike A alusel dokumentaalsetele tõenditele tugineda, kui ta teab või kui tal on alust arvata, et dokumentaalsed tõendid ei ole õiged või usaldusväärsed (näiteks kuna asjaolud on muutunud ja selle tõttu ei ole dokumendis sisalduv teave õige). Seega eeldatakse, et aruandekohustuslik finantsasutus kehtestab menetluse, mis tagab, et aruandekohustuslik finantsasutus teeb kindlaks mis tahes muudatuse kliendi põhitoimikus, mis kujutab endast asjaolude muutust (vt I osa kommentaaride punkti 26 ja III osa kommentaaride punkti 17). Lisaks eeldatakse, et aruandekohustuslik finantsasutus teavitab kõiki dokumenti esitavaid isikuid nende kohustusest teavitada aruandekohustuslikku finantsasutust asjaolude muutumisest.</w:t>
      </w:r>
    </w:p>
    <w:p w:rsidR="0026352C" w:rsidRPr="007223F4" w:rsidRDefault="00F15FDA" w:rsidP="00324DEF">
      <w:pPr>
        <w:pStyle w:val="Num-DocParagraph"/>
        <w:widowControl w:val="0"/>
        <w:numPr>
          <w:ilvl w:val="0"/>
          <w:numId w:val="75"/>
        </w:numPr>
        <w:tabs>
          <w:tab w:val="clear" w:pos="850"/>
          <w:tab w:val="left" w:pos="567"/>
        </w:tabs>
        <w:spacing w:before="240" w:after="100" w:afterAutospacing="1"/>
        <w:ind w:left="0" w:firstLine="0"/>
        <w:rPr>
          <w:spacing w:val="-6"/>
          <w:sz w:val="24"/>
          <w:szCs w:val="24"/>
        </w:rPr>
      </w:pPr>
      <w:r w:rsidRPr="007223F4">
        <w:rPr>
          <w:spacing w:val="-6"/>
          <w:sz w:val="24"/>
          <w:szCs w:val="24"/>
        </w:rPr>
        <w:fldChar w:fldCharType="begin"/>
      </w:r>
      <w:r w:rsidR="00010DDB" w:rsidRPr="007223F4">
        <w:rPr>
          <w:spacing w:val="-6"/>
          <w:sz w:val="24"/>
          <w:szCs w:val="24"/>
        </w:rPr>
        <w:instrText>MACROBUTTON NUMBERING</w:instrText>
      </w:r>
      <w:r w:rsidRPr="007223F4">
        <w:rPr>
          <w:spacing w:val="-6"/>
          <w:sz w:val="24"/>
          <w:szCs w:val="24"/>
        </w:rPr>
        <w:fldChar w:fldCharType="end"/>
      </w:r>
      <w:r w:rsidR="00010DDB" w:rsidRPr="007223F4">
        <w:rPr>
          <w:spacing w:val="-6"/>
          <w:sz w:val="24"/>
        </w:rPr>
        <w:t>Aruandekohustuslik finantsasutus võib säilitada originaalse dokumentaalse tõendi või selle kinnitatud koopia või fotokoopia (sealhulgas diamikrokaardi, elektroonilise skanni või muus sarnases elektroonilises vormis) või peab vähemalt üles märkima üle vaadatud dokumendi liigi ja numbri (olemasolu korral) (näiteks passi numbri). Iga elektrooniliselt hoiustatav dokument tuleb vastava taotluse saamisel teha kättesaadavaks paberil.</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Aruandekohustuslik finantsasutus võib vastu võtta dokumentaalse tõendi elektroonilise koopia, kui e</w:t>
      </w:r>
      <w:r w:rsidR="00010DDB" w:rsidRPr="0026352C">
        <w:rPr>
          <w:rStyle w:val="ptext-41"/>
          <w:sz w:val="24"/>
        </w:rPr>
        <w:t xml:space="preserve">lektrooniline süsteem tagab, et saadud teave on see teave, mis saadeti, ja dokumenteerib kõik korrad, mil kasutaja siseneb süsteemi ja esitab dokumentaalse tõendi või uuendab või muudab seda. </w:t>
      </w:r>
      <w:r w:rsidR="00010DDB" w:rsidRPr="0026352C">
        <w:rPr>
          <w:sz w:val="24"/>
        </w:rPr>
        <w:t>Lisaks peavad elektroonilise süsteemi ülesehitus ja talitlus, sealhulgas ligipääsuprotseduur, tagama, et süsteemi sisenev ja dokumentaalset tõendit esitav isik on dokumentaalses tõendis nimetatud isik.</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 xml:space="preserve">Üldjuhul peab aruandekohustuslik finantsasutus, milles klient võib konto avada, hankima dokumentaalseid tõendeid kontopõhiselt. Kuid aruandekohustuslik finantsasutus võib tugineda dokumentaalsele tõendile, mille klient on esitanud teise konto kohta, juhul, kui mõlemaid kontosid käsitatakse ühe kontona VII osa lõikes A ette nähtud teadmisstandardi </w:t>
      </w:r>
      <w:r w:rsidR="00010DDB" w:rsidRPr="0026352C">
        <w:rPr>
          <w:sz w:val="24"/>
        </w:rPr>
        <w:lastRenderedPageBreak/>
        <w:t>nõuete täitmise tähenduses.</w:t>
      </w:r>
    </w:p>
    <w:p w:rsidR="00010DDB" w:rsidRPr="00E74148" w:rsidRDefault="00010DDB" w:rsidP="00E74148">
      <w:pPr>
        <w:pStyle w:val="Pealkiri5"/>
        <w:widowControl w:val="0"/>
        <w:spacing w:after="100" w:afterAutospacing="1"/>
        <w:rPr>
          <w:sz w:val="24"/>
          <w:szCs w:val="24"/>
        </w:rPr>
      </w:pPr>
      <w:r>
        <w:rPr>
          <w:sz w:val="24"/>
        </w:rPr>
        <w:t>Teiste isikute kogutud dokumendid</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Nagu on II osa lõikes D sätestatud, võib osalev jurisdiktsioon lubada aruandekohustuslikel finantsasutustel kasutada neile pandud aruandluse ja hoolsusmeetmetega seotud kohustuste täitmiseks teenusepakkujat. Sellisel juhul võib aruandekohustuslik finantsasutus kasutada teenusepakkuja (näiteks andmete esitaja, finantsnõustaja, kindlustusagendi) kogutud dokumente, võttes arvesse riigisiseses õiguses sätestatud tingimusi. Kuid aruandluse ja hoolsusmeetmetega seotud kohustused jäävad ikkagi aruandekohustusliku finantsasutuse ülesandeks.</w:t>
      </w:r>
    </w:p>
    <w:p w:rsidR="0026352C"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Aruandekohustuslik finantsasutus võib tugineda oma agendi (sealhulgas avatud investeerimisfondi, riskifondi või erakapitaligrupi nõustaja) kogutud dokumentidele. Agent võib säilitada dokumente ühe aruandekohustusliku finantsasutuse või mitme aruandekohustusliku finantsasutuse jaoks peetava infosüsteemi osana eeldusel, et igal aruandekohustuslikul finantsasutusel, kelle heaks agent dokumente säilitab, on võimalik kergesti ligi pääseda andmetele dokumentide olemuse ning dokumentides sisalduva teabe (sealhulgas dokumendi koopia) ja selle kehtivuse kohta ning kergesti edastada teavet kas otse elektroonilisse süsteemi või agendile seoses mis tahes asjaoludega, mille kohta aruandekohustuslik finantsasutus saab teada, et need võivad mõjutada dokumentide usaldusväärsust. Aruandekohustuslikul finantsasutusel peab olema võimalik teha vajalikus ulatuses kindlaks, kuidas ja millal on ta edastanud andmeid seoses mis tahes asjaoludega, mille kohta ta sai teada, et need võivad mõjutada dokumentide usaldusväärsust, samuti teha kindlaks, kas tema edastatud andmeid on töödeldud ja kas seoses dokumentide kehtivusega on võetud kasutusele nõuetekohaseid hoolsusmeetmeid. Agendil peab olema süsteem, millega tagada, et mis tahes teave, mida ta saab seoses asjaoludega, mis mõjutavad dokumentide usaldusväärsust või kliendi staatust, edastatakse kõikidele aruandekohustuslikele finantsasutustele, kelle heaks agent dokumente säilitab.</w:t>
      </w:r>
    </w:p>
    <w:p w:rsidR="00010DDB" w:rsidRPr="0026352C" w:rsidRDefault="00F15FDA" w:rsidP="00324DEF">
      <w:pPr>
        <w:pStyle w:val="Num-DocParagraph"/>
        <w:widowControl w:val="0"/>
        <w:numPr>
          <w:ilvl w:val="0"/>
          <w:numId w:val="75"/>
        </w:numPr>
        <w:tabs>
          <w:tab w:val="clear" w:pos="850"/>
          <w:tab w:val="left" w:pos="567"/>
        </w:tabs>
        <w:spacing w:before="240" w:after="100" w:afterAutospacing="1"/>
        <w:ind w:left="0" w:firstLine="0"/>
        <w:rPr>
          <w:sz w:val="24"/>
          <w:szCs w:val="24"/>
        </w:rPr>
      </w:pPr>
      <w:r w:rsidRPr="0026352C">
        <w:rPr>
          <w:sz w:val="24"/>
          <w:szCs w:val="24"/>
        </w:rPr>
        <w:fldChar w:fldCharType="begin"/>
      </w:r>
      <w:r w:rsidR="00010DDB" w:rsidRPr="0026352C">
        <w:rPr>
          <w:sz w:val="24"/>
          <w:szCs w:val="24"/>
        </w:rPr>
        <w:instrText>MACROBUTTON NUMBERING</w:instrText>
      </w:r>
      <w:r w:rsidRPr="0026352C">
        <w:rPr>
          <w:sz w:val="24"/>
          <w:szCs w:val="24"/>
        </w:rPr>
        <w:fldChar w:fldCharType="end"/>
      </w:r>
      <w:r w:rsidR="00010DDB" w:rsidRPr="0026352C">
        <w:rPr>
          <w:sz w:val="24"/>
        </w:rPr>
        <w:t>Aruandekohustuslikul finantsasutusel, kes omandab konto oma eelkäijalt või ühinemise või kontode massilise omandamise korral võõrandajalt, on üldjuhul lubatud tugineda eelkäija või võõrandaja kogutud kehtivatele dokumentidele (või nende koopiale). Lisaks on ka aruandekohustuslikul finantsasutusel, kes ühinemise või kontode massilise omandamise korral omandab konto teiselt aruandekohustuslikult finantsasutuselt, kes on võõrandatud kontode suhtes võtnud kõik II kuni VII osas ette nähtud hoolsusmeetmed, üldjuhul samuti lubatud tugineda kontoomaniku staatusele, mille on määranud eelkäija või võõrandaja, kuni ajani, mil omandaja saab teada või tal on alust arvata, et staatus ei ole õige või asjaolud on muutunud (vt III osa kommentaaride punkti 17).</w:t>
      </w:r>
    </w:p>
    <w:bookmarkStart w:id="216" w:name="_Toc374431995"/>
    <w:bookmarkStart w:id="217" w:name="_Toc374431922"/>
    <w:p w:rsidR="00010DDB" w:rsidRPr="00E74148" w:rsidRDefault="00F15FDA" w:rsidP="00E74148">
      <w:pPr>
        <w:pStyle w:val="Pealkiri1"/>
        <w:keepNext w:val="0"/>
        <w:widowControl w:val="0"/>
        <w:spacing w:after="100" w:afterAutospacing="1"/>
        <w:rPr>
          <w:sz w:val="24"/>
          <w:szCs w:val="24"/>
        </w:rPr>
      </w:pPr>
      <w:r w:rsidRPr="00E74148">
        <w:rPr>
          <w:sz w:val="24"/>
          <w:szCs w:val="24"/>
        </w:rPr>
        <w:fldChar w:fldCharType="begin"/>
      </w:r>
      <w:r w:rsidR="00010DDB">
        <w:rPr>
          <w:sz w:val="24"/>
          <w:szCs w:val="24"/>
        </w:rPr>
        <w:instrText>MACROBUTTON NUMBERING</w:instrText>
      </w:r>
      <w:bookmarkStart w:id="218" w:name="_Toc389723160"/>
      <w:bookmarkStart w:id="219" w:name="_Toc420331857"/>
      <w:bookmarkStart w:id="220" w:name="_Toc420331926"/>
      <w:r w:rsidRPr="00E74148">
        <w:rPr>
          <w:sz w:val="24"/>
          <w:szCs w:val="24"/>
        </w:rPr>
        <w:fldChar w:fldCharType="end"/>
      </w:r>
      <w:r w:rsidR="00010DDB">
        <w:rPr>
          <w:sz w:val="24"/>
        </w:rPr>
        <w:t>Tõhusat rakendamist käsitleva IX osa kommentaarid</w:t>
      </w:r>
      <w:bookmarkEnd w:id="216"/>
      <w:bookmarkEnd w:id="217"/>
      <w:bookmarkEnd w:id="218"/>
      <w:bookmarkEnd w:id="219"/>
      <w:bookmarkEnd w:id="220"/>
    </w:p>
    <w:p w:rsidR="00B518E6" w:rsidRPr="00B518E6"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B518E6">
        <w:rPr>
          <w:sz w:val="24"/>
          <w:szCs w:val="24"/>
        </w:rPr>
        <w:fldChar w:fldCharType="begin"/>
      </w:r>
      <w:r w:rsidR="00010DDB" w:rsidRPr="00B518E6">
        <w:rPr>
          <w:sz w:val="24"/>
          <w:szCs w:val="24"/>
        </w:rPr>
        <w:instrText>MACROBUTTON PARADOC</w:instrText>
      </w:r>
      <w:r w:rsidRPr="00B518E6">
        <w:rPr>
          <w:sz w:val="24"/>
          <w:szCs w:val="24"/>
        </w:rPr>
        <w:fldChar w:fldCharType="end"/>
      </w:r>
      <w:r w:rsidRPr="00B518E6">
        <w:rPr>
          <w:sz w:val="24"/>
          <w:szCs w:val="24"/>
        </w:rPr>
        <w:fldChar w:fldCharType="begin"/>
      </w:r>
      <w:r w:rsidR="00010DDB" w:rsidRPr="00B518E6">
        <w:rPr>
          <w:sz w:val="24"/>
          <w:szCs w:val="24"/>
        </w:rPr>
        <w:instrText>MACROBUTTON NUMBERING</w:instrText>
      </w:r>
      <w:r w:rsidRPr="00B518E6">
        <w:rPr>
          <w:sz w:val="24"/>
          <w:szCs w:val="24"/>
        </w:rPr>
        <w:fldChar w:fldCharType="end"/>
      </w:r>
      <w:r w:rsidR="00010DDB" w:rsidRPr="00B518E6">
        <w:rPr>
          <w:sz w:val="24"/>
        </w:rPr>
        <w:t xml:space="preserve">Selle osa eesmärk on tagada, et osalevad jurisdiktsioonid rakendaksid ühtse aruandluse standardit tõhusalt, et nimetatud standardit järgitaks ja et selle täitmisest ei hoidutaks kõrvale. Seda on võimalik saavutada, kui nõuda, et jurisdiktsioonid kehtestaks teatud reeglid ja haldusmenetlused. Neid reegleid võib kehtestada esmase õiguse või teisese õigusena (näiteks määrused), mida sageli täiendatakse juhistega. Haldusmenetlused võib ette näha </w:t>
      </w:r>
      <w:r w:rsidR="00010DDB" w:rsidRPr="00B518E6">
        <w:rPr>
          <w:sz w:val="24"/>
        </w:rPr>
        <w:lastRenderedPageBreak/>
        <w:t>käsiraamatutes või dokumentides, mis edastatakse audiitoritele või muudele asjaomastele ametiasutustele.</w:t>
      </w:r>
    </w:p>
    <w:p w:rsidR="00010DDB" w:rsidRPr="00B518E6"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B518E6">
        <w:rPr>
          <w:sz w:val="24"/>
          <w:szCs w:val="24"/>
        </w:rPr>
        <w:fldChar w:fldCharType="begin"/>
      </w:r>
      <w:r w:rsidR="00010DDB" w:rsidRPr="00B518E6">
        <w:rPr>
          <w:sz w:val="24"/>
          <w:szCs w:val="24"/>
        </w:rPr>
        <w:instrText>MACROBUTTON NUMBERING</w:instrText>
      </w:r>
      <w:r w:rsidRPr="00B518E6">
        <w:rPr>
          <w:sz w:val="24"/>
          <w:szCs w:val="24"/>
        </w:rPr>
        <w:fldChar w:fldCharType="end"/>
      </w:r>
      <w:r w:rsidR="00010DDB" w:rsidRPr="00B518E6">
        <w:rPr>
          <w:sz w:val="24"/>
        </w:rPr>
        <w:t>IX osa kohaselt peab jurisdiktsioon kehtestama reeglid ja haldusmenetlused ühtse aruandluse standardis sätestatud aruandluse ja hoolsusmeetmete tõhusa rakendamise tagamiseks ja nendega seotud nõuete täitmiseks. Standardit ei rakendata tõhusalt, kui seda ei võeta vastu heas usus, arvestades selle kommentaare, mille eesmärk on edendada standardi järjepidevat rakendamist kõikides jurisdiktsioonides. Kuna CRS-i rakendamine eeldab selle ülevõtmist riigisisesesse õigusesse, võib selle rakendamine erineda. Seega võib piiriüleses kontekstis olla vajalik viidata standardit rakendava jurisdiktsiooni õigusele. Näiteks võib tõusetuda küsimus, kas konkreetne ettevõte, mis on osaleva jurisdiktsiooni resident ja millel on finantskonto teises osalevas jurisdiktsioonis, vastab finantsasutuse mõistele. Ettevõte võib läbida märkimisväärse osa testi, et olla ühe osaleva jurisdiktsiooni hoiuseasutus, kuid brutotuluga seotud erinevad mõõtmistehnikad võivad tähendada, et teises jurisdiktsioonis ei läbi ettevõte seda testi. Sellisel juhul tuleb ettevõtte liigitamise küsimus lahendada osaleva jurisdiktsiooni, mille resident ettevõte on, seaduste alusel.</w:t>
      </w:r>
    </w:p>
    <w:p w:rsidR="00010DDB" w:rsidRPr="00E74148" w:rsidRDefault="00F15FDA" w:rsidP="00324DEF">
      <w:pPr>
        <w:pStyle w:val="Num-DocParagraph"/>
        <w:widowControl w:val="0"/>
        <w:numPr>
          <w:ilvl w:val="0"/>
          <w:numId w:val="76"/>
        </w:numPr>
        <w:tabs>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punktides 1 ja 2 on sätestatud, et jurisdiktsioon peab kehtestama järgmised reeglid:</w:t>
      </w:r>
    </w:p>
    <w:p w:rsidR="00010DDB" w:rsidRPr="00E74148" w:rsidRDefault="00010DDB" w:rsidP="00E74148">
      <w:pPr>
        <w:pStyle w:val="Loenditpp"/>
        <w:widowControl w:val="0"/>
        <w:spacing w:after="100" w:afterAutospacing="1"/>
        <w:rPr>
          <w:sz w:val="24"/>
          <w:szCs w:val="24"/>
        </w:rPr>
      </w:pPr>
      <w:r>
        <w:rPr>
          <w:sz w:val="24"/>
        </w:rPr>
        <w:t>reeglid, mis takistavad finantsasutustel, isikutel või vahendajatel ühtse aruandluse standardi täitmisest kõrvale hoiduda;</w:t>
      </w:r>
    </w:p>
    <w:p w:rsidR="00010DDB" w:rsidRPr="00E74148" w:rsidRDefault="00010DDB" w:rsidP="00E74148">
      <w:pPr>
        <w:pStyle w:val="Loenditpp"/>
        <w:widowControl w:val="0"/>
        <w:spacing w:after="100" w:afterAutospacing="1"/>
        <w:rPr>
          <w:sz w:val="24"/>
          <w:szCs w:val="24"/>
        </w:rPr>
      </w:pPr>
      <w:r>
        <w:rPr>
          <w:sz w:val="24"/>
        </w:rPr>
        <w:t>reeglid, mis kohustavad finantsasutusi säilitama andmeid CRS-is sätestatud hoolsusmeetmete täitmiseks võetud meetmete kohta ja tõendite kohta, millele nende täitmisel tugineti; ning</w:t>
      </w:r>
    </w:p>
    <w:p w:rsidR="00010DDB" w:rsidRPr="00E74148" w:rsidRDefault="00010DDB" w:rsidP="00E74148">
      <w:pPr>
        <w:pStyle w:val="Loenditpp"/>
        <w:widowControl w:val="0"/>
        <w:spacing w:after="100" w:afterAutospacing="1"/>
        <w:rPr>
          <w:sz w:val="24"/>
          <w:szCs w:val="24"/>
        </w:rPr>
      </w:pPr>
      <w:r>
        <w:rPr>
          <w:sz w:val="24"/>
        </w:rPr>
        <w:t>reeglid, mis kohustavad adekvaatsete meetmete võtmist nimetatud andmete hankimiseks.</w:t>
      </w:r>
    </w:p>
    <w:p w:rsidR="00B518E6" w:rsidRPr="00B518E6"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B518E6">
        <w:rPr>
          <w:sz w:val="24"/>
          <w:szCs w:val="24"/>
        </w:rPr>
        <w:fldChar w:fldCharType="begin"/>
      </w:r>
      <w:r w:rsidR="00010DDB" w:rsidRPr="00B518E6">
        <w:rPr>
          <w:sz w:val="24"/>
          <w:szCs w:val="24"/>
        </w:rPr>
        <w:instrText>MACROBUTTON NUMBERING</w:instrText>
      </w:r>
      <w:r w:rsidRPr="00B518E6">
        <w:rPr>
          <w:sz w:val="24"/>
          <w:szCs w:val="24"/>
        </w:rPr>
        <w:fldChar w:fldCharType="end"/>
      </w:r>
      <w:r w:rsidR="00010DDB" w:rsidRPr="00B518E6">
        <w:rPr>
          <w:sz w:val="24"/>
        </w:rPr>
        <w:t>Lõike A punktis 1 kirjeldatud esimest reeglit tuntakse üldjuhul kõrvalehoidumise takistamise reeglina. See võib esineda mitmel kujul. Paljud jurisdiktsioonid on kehtestanud oma maksuseadustes kõrvalehoidumise takistamise üldreegli, mida võivad täiendada kõrvalehoidumise takistamise erireeglid. Teistes jurisdiktsioonides võivad seadused sisaldada üksnes kõrvalehoidumise takistamise erireegleid. See, kuidas kõrvalehoidumise takistamise reegel CRS-i jaoks välja töötatakse, sõltub jurisdiktsiooni üldisest lähenemisest kõrvalehoidumisele ja ühtse aruandluse standardi rakendamisele. Näiteks võib kõrvalehoidumise takistamise üldreegel hõlmata aruandluse ja hoolsusmeetmetega seotud kohustusi. Reegli vorm ei ole iseenesest oluline, kui reegel takistab tõhusalt aruandluse ja hoolsusmeetmete täitmisest kõrvalehoidumist.</w:t>
      </w:r>
    </w:p>
    <w:p w:rsidR="00010DDB" w:rsidRPr="00B518E6"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B518E6">
        <w:rPr>
          <w:sz w:val="24"/>
          <w:szCs w:val="24"/>
        </w:rPr>
        <w:fldChar w:fldCharType="begin"/>
      </w:r>
      <w:r w:rsidR="00010DDB" w:rsidRPr="00B518E6">
        <w:rPr>
          <w:sz w:val="24"/>
          <w:szCs w:val="24"/>
        </w:rPr>
        <w:instrText>MACROBUTTON NUMBERING</w:instrText>
      </w:r>
      <w:r w:rsidRPr="00B518E6">
        <w:rPr>
          <w:sz w:val="24"/>
          <w:szCs w:val="24"/>
        </w:rPr>
        <w:fldChar w:fldCharType="end"/>
      </w:r>
      <w:r w:rsidR="00010DDB" w:rsidRPr="00B518E6">
        <w:rPr>
          <w:sz w:val="24"/>
        </w:rPr>
        <w:t>Siin on mõned näited olukordadest, mil eeldatakse, et kehtib kõrvalehoidumise takistamise reegel.</w:t>
      </w:r>
    </w:p>
    <w:p w:rsidR="00010DDB" w:rsidRPr="00E74148" w:rsidRDefault="00010DDB" w:rsidP="00E74148">
      <w:pPr>
        <w:pStyle w:val="Loenditpp"/>
        <w:widowControl w:val="0"/>
        <w:spacing w:after="100" w:afterAutospacing="1"/>
        <w:rPr>
          <w:sz w:val="24"/>
          <w:szCs w:val="24"/>
        </w:rPr>
      </w:pPr>
      <w:r>
        <w:rPr>
          <w:sz w:val="24"/>
        </w:rPr>
        <w:t>Näide 1 (konto haldamise koha muutmine). Aruandekohustuslik finantsasutus soovitab kliendil hoida kontot mitteosalevas jurisdiktsioonis asuvas seotud ettevõttes, tänu millele on aruandekohustuslikul finantsasutusel võimalik vältida aruandlust, kuid samas pakkuda teenuseid ja säilitada suhet kliendiga, nagu haldaks kontot aruandekohustuslik finantsasutus ise. Sellisel juhul tuleb aruandekohustuslikku finantsasutust käsitada konto haldajana, kellel on aruandluse ja hoolsusmeetmetega seotud kohustused.</w:t>
      </w:r>
    </w:p>
    <w:p w:rsidR="00010DDB" w:rsidRPr="00E74148" w:rsidRDefault="00010DDB" w:rsidP="00E74148">
      <w:pPr>
        <w:pStyle w:val="Loenditpp"/>
        <w:widowControl w:val="0"/>
        <w:spacing w:after="100" w:afterAutospacing="1"/>
        <w:rPr>
          <w:sz w:val="24"/>
          <w:szCs w:val="24"/>
        </w:rPr>
      </w:pPr>
      <w:r>
        <w:rPr>
          <w:sz w:val="24"/>
        </w:rPr>
        <w:t xml:space="preserve">Näide 2 (summad aastalõpu seisuga). Finantsasutused, füüsilised isikud, vahendajad, ettevõtted ja vahendajad manipuleerivad aastalõpu seisu summadega, näiteks </w:t>
      </w:r>
      <w:r>
        <w:rPr>
          <w:sz w:val="24"/>
        </w:rPr>
        <w:lastRenderedPageBreak/>
        <w:t>kontojäägiga, et vältida ise aruande esitamist ja enda kohta aruande esitamist.</w:t>
      </w:r>
    </w:p>
    <w:p w:rsidR="00010DDB" w:rsidRPr="00E74148" w:rsidRDefault="00010DDB" w:rsidP="00E74148">
      <w:pPr>
        <w:pStyle w:val="Loenditpp"/>
        <w:widowControl w:val="0"/>
        <w:spacing w:after="100" w:afterAutospacing="1"/>
        <w:rPr>
          <w:sz w:val="24"/>
          <w:szCs w:val="24"/>
        </w:rPr>
      </w:pPr>
      <w:r>
        <w:rPr>
          <w:sz w:val="24"/>
        </w:rPr>
        <w:t>Näide 3 (raha ajutine hoiustamine kvalifitseerunud krediitkaardi väljastaja juures). Füüsilised isikud ja ettevõtted kannavad aasta lõpus avaldatavatelt kontodelt raha lühikeseks ajaks üle kvalifitseerunud krediitkaardi väljastajatele, et vältida aruandlust.</w:t>
      </w:r>
    </w:p>
    <w:p w:rsidR="00010DDB" w:rsidRPr="00E74148" w:rsidRDefault="00010DDB" w:rsidP="00E74148">
      <w:pPr>
        <w:pStyle w:val="Loenditpp"/>
        <w:widowControl w:val="0"/>
        <w:spacing w:after="100" w:afterAutospacing="1"/>
        <w:rPr>
          <w:sz w:val="24"/>
          <w:szCs w:val="24"/>
        </w:rPr>
      </w:pPr>
      <w:r>
        <w:rPr>
          <w:sz w:val="24"/>
        </w:rPr>
        <w:t>Näide 4 (elektroonilised andmed ja arvutisüsteemid). Aruandekohustuslik finantsasutus jätab teadlikult elektroonilised andmed tekitamata (et elektrooniliste andmete otsing ei annaks tulemusi) või hoiab arvutisüsteeme kunstlikult eraldatuna (et vältida kontojäägi liitmise eeskirju).</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Kontoomanike kinnituste usaldusväärsuse suurendamiseks eeldatakse, et jurisdiktsioonid lisavad oma riigisisesesse õigusesse sätte, millega kehtestatakse karistus ebaõige kinnituse allkirjastamise (või selle muul viisil kinnitamise) eest.</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 2 nõuab, et jurisdiktsioon kehtestaks reeglid, mis kohustavad finantsasutusi säilitama andmeid CRS-is sätestatud hoolsusmeetmete täitmiseks võetud meetmete kohta ja tõendite kohta, millele nende täitmisel tugineti. Sellised andmed peaksid olema kättesaadavad piisavalt pikka aega, igal juhul vähemalt viie aasta jooksul pärast ajavahemikku, mil aruandekohustuslik finantsasutus peab avaldama ühtse aruandluse standardi alusel avaldamisele kuuluva teabe.</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VIII osa lõike E punktis 6 on määratletud dokumentaalsete tõendite mõiste, mis on oluline näiteks seoses III osa lõike B punktis 1 ette nähtud elukoha aadressi testi ja III osa lõike B punktis 6 sätestatud parandusmenetluse kohaldamisega. Nagu on VIII osa kommentaaride punktis 157 mainitud, ei pea aruandekohustusliku finantsasutuse säilitatav dokumentaalne tõend olema originaal, vaid võib olla selle kinnitatud koopia või fotokoopia või vähemalt märge ülevaadatud dokumendi liigi kohta, dokumendi ülevaatamise kuupäev ja dokumendi number (olemasolu korral).</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Teatud juhtudel, näiteks nagu on ette nähtud I osa kommentaaride punktis 13 seoses mõistlike jõupingutustega olemasoleva konto kohta TIN-i hankimiseks, võib võetud meetmeid kirjeldavateks andmeteks olla menetluskäsiraamat, milles kirjeldatakse nõuetekohaseid mõistlikke jõupingutusi, eeldusel et on olemas tõendid selle kohta, kuidas neid tegevuskordasid ja menetlusi järgitakse. Näiteks kirjakooste korral ei pea aruandekohustuslik finantsasutus säilitama saadetud kirjade tegelikke koopiaid, vaid nõude korral esitama dokumendi, mis sisaldab teavet, mis on sama igas versioonis, ja andmefaili, kus unikaalset teavet hoitakse.</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 2 nõuab ka, et jurisdiktsioon kehtestaks adekvaatsed meetmed andmete hankimiseks aruandekohustuslikelt finantsasutustelt. Enamik jurisdiktsioone on kehtestanud reeglid, mis kohustavad maksukohustuslast või kolmandat isikut esitama dokumente, mis on vajalikud nende riigisisese maksuõiguse kohaldamiseks. Need reeglid kehtivad üldjuhul ka teabe hankimisele, et vastata teabenõudele, mille on teabevahetuse lepingu alusel esitanud teine lepingupool. Mõned jurisdiktsioonid, eelkõige need, kus ei ole kehtestatud tulumaksu, võivad olla kehtestanud reeglid, mis käsitlevad konkreetselt menetlust teabe hankimiseks teabevahetuse lepingu alusel.</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Lõike A punktid 3 ja 4 nõuavad, et jurisdiktsioonid kehtestaks järgmised haldusmenetlused:</w:t>
      </w:r>
    </w:p>
    <w:p w:rsidR="00010DDB" w:rsidRPr="00E74148" w:rsidRDefault="00010DDB" w:rsidP="00E74148">
      <w:pPr>
        <w:pStyle w:val="Loenditpp"/>
        <w:widowControl w:val="0"/>
        <w:spacing w:after="100" w:afterAutospacing="1"/>
        <w:rPr>
          <w:sz w:val="24"/>
          <w:szCs w:val="24"/>
        </w:rPr>
      </w:pPr>
      <w:r>
        <w:rPr>
          <w:sz w:val="24"/>
        </w:rPr>
        <w:t xml:space="preserve">haldusmenetlused aruandekohustusliku finantsasutuse poolt CRS-is sätestatud </w:t>
      </w:r>
      <w:r>
        <w:rPr>
          <w:sz w:val="24"/>
        </w:rPr>
        <w:lastRenderedPageBreak/>
        <w:t>aruandluse ja hoolsusmeetmete täitmise kontrollimiseks;</w:t>
      </w:r>
    </w:p>
    <w:p w:rsidR="00010DDB" w:rsidRPr="00E74148" w:rsidRDefault="00010DDB" w:rsidP="00E74148">
      <w:pPr>
        <w:pStyle w:val="Loenditpp"/>
        <w:widowControl w:val="0"/>
        <w:spacing w:after="100" w:afterAutospacing="1"/>
        <w:rPr>
          <w:sz w:val="24"/>
          <w:szCs w:val="24"/>
        </w:rPr>
      </w:pPr>
      <w:r>
        <w:rPr>
          <w:sz w:val="24"/>
        </w:rPr>
        <w:t>haldusmenetlused aruandekohustusliku finantsasutuse järelkontrolliks, juhul kui on teatatud dokumenteerimata kontodest; ja</w:t>
      </w:r>
    </w:p>
    <w:p w:rsidR="00010DDB" w:rsidRPr="00E74148" w:rsidRDefault="00010DDB" w:rsidP="00E74148">
      <w:pPr>
        <w:pStyle w:val="Loenditpp"/>
        <w:widowControl w:val="0"/>
        <w:spacing w:after="100" w:afterAutospacing="1"/>
        <w:rPr>
          <w:sz w:val="24"/>
          <w:szCs w:val="24"/>
        </w:rPr>
      </w:pPr>
      <w:r>
        <w:rPr>
          <w:sz w:val="24"/>
        </w:rPr>
        <w:t>haldusmenetlused, millega tagada, et riigisisese õiguse alusel mittearuandekohustuslikeks finantsasutusteks ja välistatud kontodeks loetud ettevõtete ja kontode kasutamine maksudest kõrvalehoidumiseks on endiselt vähetõenäoline.</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Jurisdiktsioonid peaksid kehtestama menetlused, mille alusel korrapäraselt kontrollida, kas aruandekohustuslikud finantsasutused täidavad nõudeid. Seda võib kontrollida tavapärase maksuauditi raames või eraldi päringu või ülevaatuse käigus.</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Jurisdiktsioon peab kehtestama ka menetlused aruandekohustusliku finantsasutuse järelkontrolliks juhul, kui on teatatud dokumenteerimata kontodest. Dokumenteerimata konto kerkib üldjuhul esile siis, kui aruandekohustuslik finantsasutus ei suuda hankida kontoomanikult olemasoleva konto kohta teavet (vt III osa kommentaaride punkte 28–29, 45 ja 48). See võib tuleneda sellest, et aruandekohustuslik finantsasutus rakendab vajaliku teabe hankimiseks ebaadekvaatset menetlust või et kontoomanik ei tee koostööd. Mõlemal juhul on põhjust muretsemiseks.</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Eeldatakse, et jurisdiktsioon teeb järelkontrolli iga aruandekohustusliku finantsasutuse üle, kes teatab dokumenteerimata kontost. Kui dokumenteerimata kontosid on vähe, siis võib päringust aruandekohustuslikule finantsasutusele täiesti piisata. Kui aga aruandekohustuslik finantsasutus teatab mis tahes aastal keskmisest suuremast arvust dokumenteerimata kontodest või kui avaldatud dokumenteerimata kontode arv pidevalt suureneb, võib aruandekohustusliku finantsasutuse hoolsusmeetmete rakendamise täielik audit asjakohane olla. Sellisel juhul võib asjakohane olla, et võimaluse korral teavitab jurisdiktsioon rahapesu tõkestamise asutust kooskõlas riigisisese õigusega.</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Nagu on eespool kirjeldatud, peab jurisdiktsioon kehtestama menetlused, millega tagada, et riigisiseses õiguses määratletud mittearuandekohustuslike finantsasutuste ja välistatud kontode kasutamine maksudest kõrvalehoidumiseks on endiselt vähetõenäoline. See võib tähendada konkreetseid ettevõtteid või ettevõtete liike. Need menetlused peaksid hõlmama sellise staatuse korrapärast ülevaatamist.</w:t>
      </w:r>
      <w:r w:rsidR="00010DDB">
        <w:rPr>
          <w:b/>
          <w:caps/>
          <w:sz w:val="24"/>
        </w:rPr>
        <w:t xml:space="preserve"> </w:t>
      </w:r>
      <w:r w:rsidR="00010DDB">
        <w:rPr>
          <w:sz w:val="24"/>
        </w:rPr>
        <w:t>Sellist ülevaatust võib teha tavapärase maksuauditi raames või eraldi päringu või ülevaatusena.</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Olukord, kus jurisdiktsioon peaks uuesti hindama, kas ettevõtte või konto määratlus on sobiv, on näiteks siis, kui ettevõte muudab oma äritegevust või finantskonto olemus muutub.</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Kui jurisdiktsioon määrab kindlaks, et teatud liiki ettevõte või konto ei vasta enam nõudele, mille kohaselt ei tohi selle kasutamine maksudest kõrvalehoidumiseks olla tõenäoline, peab jurisdiktsioon võtma võimalikult kiiresti kõiki vajalikke meetmeid, et eemaldada selline ettevõte või konto riigisiseses õiguses sätestatud mittearuandekohustuslike finantsasutuste või välistatud kontode nimekirjast. Ühtlasi peaks see jurisdiktsioon teavitama oma teabevahetuse partnereid ettevõtte või konto staatuse muutumisest. Vaata ka mudellepingu CAA artikli 7 lõiget 2, kus ettevõtete või kontode määratlemine mittearuandekohustuslike finantsasutustena või välistatud kontodena viisil, mis läheb vastuollu ühtse aruandluse standardiga, tähendab olulist rikkumist, mille tagajärjel võib teine lepingupool mudellepingu CAA peatada.</w:t>
      </w:r>
    </w:p>
    <w:p w:rsidR="00010DDB" w:rsidRPr="00E74148" w:rsidRDefault="00F15FDA" w:rsidP="00324DEF">
      <w:pPr>
        <w:pStyle w:val="Num-DocParagraph"/>
        <w:widowControl w:val="0"/>
        <w:numPr>
          <w:ilvl w:val="0"/>
          <w:numId w:val="76"/>
        </w:numPr>
        <w:tabs>
          <w:tab w:val="clear" w:pos="850"/>
          <w:tab w:val="left" w:pos="567"/>
        </w:tabs>
        <w:spacing w:before="240" w:after="100" w:afterAutospacing="1"/>
        <w:ind w:left="0" w:firstLine="0"/>
        <w:rPr>
          <w:sz w:val="24"/>
          <w:szCs w:val="24"/>
        </w:rPr>
      </w:pPr>
      <w:r w:rsidRPr="00E74148">
        <w:rPr>
          <w:sz w:val="24"/>
          <w:szCs w:val="24"/>
        </w:rPr>
        <w:fldChar w:fldCharType="begin"/>
      </w:r>
      <w:r w:rsidR="00010DDB">
        <w:rPr>
          <w:sz w:val="24"/>
          <w:szCs w:val="24"/>
        </w:rPr>
        <w:instrText>MACROBUTTON NUMBERING</w:instrText>
      </w:r>
      <w:r w:rsidRPr="00E74148">
        <w:rPr>
          <w:sz w:val="24"/>
          <w:szCs w:val="24"/>
        </w:rPr>
        <w:fldChar w:fldCharType="end"/>
      </w:r>
      <w:r w:rsidR="00010DDB">
        <w:rPr>
          <w:sz w:val="24"/>
        </w:rPr>
        <w:t xml:space="preserve">Lõike A punkt 5 nõuab, et jurisdiktsioon kehtestaks nõuete mittetäitmise puhul tõhusad </w:t>
      </w:r>
      <w:r w:rsidR="00010DDB">
        <w:rPr>
          <w:sz w:val="24"/>
        </w:rPr>
        <w:lastRenderedPageBreak/>
        <w:t>jõustamismeetmed. Mõnel juhul võib lõike A punktis 1 kirjeldatud kõrvalehoidumise takistamise reegel olla piisavalt lai, et hõlmata ka jõustamist. Teisel juhul aga võivad kehtestatud olla eraldi või konkreetsemad reeglid, mis käsitlevad teatud jõustamisküsimusi kitsamalt. Näiteks võib jurisdiktsioon kehtestada reeglid, mis näevad ette trahvi või muu karistuse juhuks, kui isik ei esita maksuameti küsitud teavet. Lisaks, võttes arvesse seda, et uue konto puhul on ülioluline hankida CRS-i tõhususe tagamiseks kontoomaniku kinnitus, eeldatakse, et jurisdiktsioonid kehtestavad karmid meetmed, millega tagada, et uute kontode puhul hangitakse alati kontoomaniku kehtiv kinnitus. Seda on võimalik tõhusalt saavutada selliselt, et seaduses tuleb uue konto avamise tingimuseks seada konto avamise käigus kontoomaniku antav kehtiv kinnitus. Teised jurisdiktsioonid võivad valida teistsugused meetodid. Näiteks võivad nad kehtestada märkimisväärsed karistused kontoomanikele, kes kinnitust ei esita, või aruandekohustuslikele finantsasutustele, kes ei võta konto avamise käigus kontoomaniku kinnituse hankimiseks asjakohaseid meetmeid.</w:t>
      </w:r>
      <w:bookmarkStart w:id="221" w:name="_Toc374431925"/>
      <w:bookmarkStart w:id="222" w:name="_Toc374431996"/>
      <w:r w:rsidRPr="00E74148">
        <w:rPr>
          <w:sz w:val="24"/>
          <w:szCs w:val="24"/>
        </w:rPr>
        <w:fldChar w:fldCharType="begin"/>
      </w:r>
      <w:r w:rsidR="00010DDB">
        <w:rPr>
          <w:sz w:val="24"/>
          <w:szCs w:val="24"/>
        </w:rPr>
        <w:instrText>MACROBUTTON NUMBERING</w:instrText>
      </w:r>
      <w:bookmarkStart w:id="223" w:name="_Toc389723162"/>
      <w:r w:rsidRPr="00E74148">
        <w:rPr>
          <w:sz w:val="24"/>
          <w:szCs w:val="24"/>
        </w:rPr>
        <w:fldChar w:fldCharType="end"/>
      </w:r>
      <w:bookmarkEnd w:id="221"/>
      <w:bookmarkEnd w:id="222"/>
      <w:bookmarkEnd w:id="223"/>
    </w:p>
    <w:sectPr w:rsidR="00010DDB" w:rsidRPr="00E74148" w:rsidSect="003900DB">
      <w:footerReference w:type="default" r:id="rId10"/>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392" w:rsidRDefault="007D3392" w:rsidP="00010DDB">
      <w:r>
        <w:separator/>
      </w:r>
    </w:p>
  </w:endnote>
  <w:endnote w:type="continuationSeparator" w:id="0">
    <w:p w:rsidR="007D3392" w:rsidRDefault="007D3392" w:rsidP="00010D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altName w:val="Lucidasans"/>
    <w:panose1 w:val="020B0604030504040204"/>
    <w:charset w:val="BA"/>
    <w:family w:val="swiss"/>
    <w:pitch w:val="variable"/>
    <w:sig w:usb0="E1002EFF" w:usb1="C000605B" w:usb2="00000029" w:usb3="00000000" w:csb0="000101FF" w:csb1="00000000"/>
  </w:font>
  <w:font w:name="Cambria">
    <w:altName w:val="Palatino Linotype"/>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DD4" w:rsidRDefault="007D3392">
    <w:pPr>
      <w:pStyle w:val="Jalus"/>
      <w:jc w:val="center"/>
    </w:pPr>
    <w:r>
      <w:fldChar w:fldCharType="begin"/>
    </w:r>
    <w:r>
      <w:instrText xml:space="preserve"> PAGE   \* MERGEFORMAT </w:instrText>
    </w:r>
    <w:r>
      <w:fldChar w:fldCharType="separate"/>
    </w:r>
    <w:r w:rsidR="007610DA">
      <w:rPr>
        <w:noProof/>
      </w:rPr>
      <w:t>1</w:t>
    </w:r>
    <w:r>
      <w:rPr>
        <w:noProof/>
      </w:rPr>
      <w:fldChar w:fldCharType="end"/>
    </w:r>
  </w:p>
  <w:p w:rsidR="00394DD4" w:rsidRDefault="00394DD4">
    <w:pPr>
      <w:pStyle w:val="Jalu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392" w:rsidRDefault="007D3392" w:rsidP="00010DDB">
      <w:r>
        <w:separator/>
      </w:r>
    </w:p>
  </w:footnote>
  <w:footnote w:type="continuationSeparator" w:id="0">
    <w:p w:rsidR="007D3392" w:rsidRDefault="007D3392" w:rsidP="00010DDB">
      <w:r>
        <w:continuationSeparator/>
      </w:r>
    </w:p>
  </w:footnote>
  <w:footnote w:id="1">
    <w:p w:rsidR="00394DD4" w:rsidRPr="00394DD4" w:rsidRDefault="00394DD4" w:rsidP="00394DD4">
      <w:pPr>
        <w:pStyle w:val="Allmrkusetekst"/>
        <w:tabs>
          <w:tab w:val="clear" w:pos="850"/>
          <w:tab w:val="left" w:pos="851"/>
        </w:tabs>
        <w:spacing w:after="0"/>
        <w:ind w:left="851" w:hanging="851"/>
      </w:pPr>
      <w:r w:rsidRPr="00394DD4">
        <w:rPr>
          <w:rStyle w:val="Allmrkuseviide"/>
          <w:vertAlign w:val="baseline"/>
        </w:rPr>
        <w:footnoteRef/>
      </w:r>
      <w:r w:rsidRPr="00394DD4">
        <w:rPr>
          <w:rStyle w:val="Allmrkuseviide"/>
          <w:vertAlign w:val="baseline"/>
        </w:rPr>
        <w:t xml:space="preserve"> </w:t>
      </w:r>
      <w:r w:rsidRPr="00394DD4">
        <w:tab/>
      </w:r>
      <w:r w:rsidRPr="00394DD4">
        <w:rPr>
          <w:rStyle w:val="Allmrkuseviide"/>
          <w:vertAlign w:val="baseline"/>
        </w:rPr>
        <w:t>ws-turvalisusega VEEBITEENUSED on teine jõukohane standard, mida hakatakse turvalistes keskkondades üha enam kasutama ja mis koosneb teenuste kogumist, mis kasutavad HTTP-protokolli standardmeetodite, näiteks GETi ja POSTi, vahendusel. Edastusprotokollid, mille suhtes on rahvusvaheliselt kokku lepitud, et need vastavad turvaliste edastuskanalite ja turbeprotokollide nõudele, mis tagab andmete konfidentsiaalsuse ja rikkumatuse, on näiteks transpordikihi turbeprotokoll (TLS) v 1.1 turvaliseks brauseripõhiseks andmevahetuseks ja turvaline failiedastusprotokoll (SFTP) mitme faili edastamiseks, kuid need ei ole ainsad protokollid, mis võivad pakkuda sobivaid lahendusi.</w:t>
      </w:r>
    </w:p>
  </w:footnote>
  <w:footnote w:id="2">
    <w:p w:rsidR="00394DD4" w:rsidRPr="00394DD4" w:rsidRDefault="00394DD4" w:rsidP="00394DD4">
      <w:pPr>
        <w:pStyle w:val="Allmrkusetekst"/>
        <w:spacing w:after="0"/>
      </w:pPr>
      <w:r w:rsidRPr="00394DD4">
        <w:rPr>
          <w:rStyle w:val="Allmrkuseviide"/>
          <w:vertAlign w:val="baseline"/>
        </w:rPr>
        <w:footnoteRef/>
      </w:r>
      <w:r w:rsidRPr="00394DD4">
        <w:tab/>
      </w:r>
      <w:r w:rsidRPr="00394DD4">
        <w:rPr>
          <w:rStyle w:val="Allmrkuseviide"/>
          <w:i/>
          <w:vertAlign w:val="baseline"/>
        </w:rPr>
        <w:t>Keeping it safe</w:t>
      </w:r>
      <w:r w:rsidRPr="00394DD4">
        <w:rPr>
          <w:rStyle w:val="Allmrkuseviide"/>
          <w:vertAlign w:val="baseline"/>
        </w:rPr>
        <w:t>, OECD</w:t>
      </w:r>
      <w:r w:rsidRPr="00394DD4">
        <w:t xml:space="preserve">, Pariis, 2012, kättesaadav aadressil </w:t>
      </w:r>
      <w:hyperlink r:id="rId1">
        <w:r w:rsidRPr="00394DD4">
          <w:rPr>
            <w:rStyle w:val="Hperlink"/>
          </w:rPr>
          <w:t>http://www.oecd.org/ctp/exchange-of-tax-information/keeping-it-safe-report.pdf</w:t>
        </w:r>
      </w:hyperlink>
      <w:r w:rsidRPr="00394DD4">
        <w:t xml:space="preserve"> </w:t>
      </w:r>
    </w:p>
  </w:footnote>
  <w:footnote w:id="3">
    <w:p w:rsidR="00394DD4" w:rsidRPr="00394DD4" w:rsidRDefault="00394DD4" w:rsidP="00394DD4">
      <w:pPr>
        <w:pStyle w:val="Allmrkusetekst"/>
        <w:spacing w:after="0"/>
      </w:pPr>
      <w:r w:rsidRPr="00394DD4">
        <w:rPr>
          <w:rStyle w:val="Allmrkuseviide"/>
          <w:vertAlign w:val="baseline"/>
        </w:rPr>
        <w:footnoteRef/>
      </w:r>
      <w:r w:rsidRPr="00394DD4">
        <w:rPr>
          <w:rStyle w:val="Allmrkuseviide"/>
          <w:vertAlign w:val="baseline"/>
        </w:rPr>
        <w:t xml:space="preserve"> </w:t>
      </w:r>
      <w:r w:rsidRPr="00394DD4">
        <w:tab/>
      </w:r>
      <w:r w:rsidRPr="00394DD4">
        <w:rPr>
          <w:rStyle w:val="Allmrkuseviide"/>
          <w:vertAlign w:val="baseline"/>
        </w:rPr>
        <w:t>Vt näiteks OECD näidismaksukonventsiooni artikli 26 lõike 3 punkti c ja mitmepoolse maksuasjades vastastikuse haldusabi konventsiooni artikli 21 lõike 2 punkti d.</w:t>
      </w:r>
    </w:p>
  </w:footnote>
  <w:footnote w:id="4">
    <w:p w:rsidR="00394DD4" w:rsidRPr="00394DD4" w:rsidRDefault="00394DD4" w:rsidP="00394DD4">
      <w:pPr>
        <w:pStyle w:val="Allmrkusetekst"/>
        <w:spacing w:after="0"/>
      </w:pPr>
      <w:r w:rsidRPr="00394DD4">
        <w:rPr>
          <w:rStyle w:val="Allmrkuseviide"/>
          <w:vertAlign w:val="baseline"/>
        </w:rPr>
        <w:footnoteRef/>
      </w:r>
      <w:r w:rsidRPr="00394DD4">
        <w:rPr>
          <w:rStyle w:val="Allmrkuseviide"/>
          <w:vertAlign w:val="baseline"/>
        </w:rPr>
        <w:t xml:space="preserve"> </w:t>
      </w:r>
      <w:r w:rsidRPr="00394DD4">
        <w:tab/>
      </w:r>
      <w:r w:rsidRPr="00394DD4">
        <w:rPr>
          <w:rStyle w:val="Allmrkuseviide"/>
          <w:vertAlign w:val="baseline"/>
        </w:rPr>
        <w:t>Lisas 4 esitatud näidisküsimustik on küsimustik, mida kasutavad Ameerika Ühendriigid seoses FATCA-ga</w:t>
      </w:r>
      <w:r w:rsidRPr="00394DD4">
        <w:t xml:space="preserve"> alates 20. märtsist 2014 ja millest on Ameerika Ühendriikidele omased küsimused välja jäetud</w:t>
      </w:r>
      <w:r w:rsidRPr="00394DD4">
        <w:rPr>
          <w:rStyle w:val="Allmrkuseviide"/>
          <w:vertAlign w:val="baseline"/>
        </w:rPr>
        <w:t>.</w:t>
      </w:r>
    </w:p>
  </w:footnote>
  <w:footnote w:id="5">
    <w:p w:rsidR="00394DD4" w:rsidRPr="00394DD4" w:rsidRDefault="00394DD4" w:rsidP="00394DD4">
      <w:pPr>
        <w:pStyle w:val="Allmrkusetekst"/>
        <w:spacing w:after="0"/>
      </w:pPr>
      <w:r w:rsidRPr="00394DD4">
        <w:rPr>
          <w:rStyle w:val="Allmrkuseviide"/>
          <w:vertAlign w:val="baseline"/>
        </w:rPr>
        <w:footnoteRef/>
      </w:r>
      <w:r w:rsidRPr="00394DD4">
        <w:rPr>
          <w:rStyle w:val="Allmrkuseviide"/>
          <w:vertAlign w:val="baseline"/>
        </w:rPr>
        <w:t xml:space="preserve"> </w:t>
      </w:r>
      <w:r w:rsidRPr="00394DD4">
        <w:tab/>
      </w:r>
      <w:r w:rsidRPr="00394DD4">
        <w:rPr>
          <w:rStyle w:val="Allmrkuseviide"/>
          <w:vertAlign w:val="baseline"/>
        </w:rPr>
        <w:t>Infoturbe rahvusvaheliselt tunnustatud standarditena teatakse ISO/IEC 27000 seeriat, mille on</w:t>
      </w:r>
      <w:r w:rsidRPr="00394DD4">
        <w:t xml:space="preserve"> ühiselt avaldanud Rahvusvaheline Standardiorganisatsioon (ISO) ja Rahvusvaheline Elektrotehnika Komisjon (IEC). Seeria näeb üldise infoturbe haldussüsteemi kontekstis ette infoturbe halduse, riskide ja kontrollide parima praktika. Maksuamet peab suutma dokumenteerida, et ta vastab ISO/IEC 27000 seeria standarditele või et tal on samaväärne infoturbe raamistik ja et seadusliku dokumendi alusel saadud teave maksumaksjate kohta on selle raamistiku alusel kaitstud.</w:t>
      </w:r>
    </w:p>
  </w:footnote>
  <w:footnote w:id="6">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t xml:space="preserve">Vt juriidilise isiku tunnuse süsteemi (GLEIS) regulatiivse järelevalvekomitee (ROC) veebilehte aadressil </w:t>
      </w:r>
      <w:hyperlink r:id="rId2">
        <w:r w:rsidRPr="00394DD4">
          <w:rPr>
            <w:rStyle w:val="Hperlink"/>
          </w:rPr>
          <w:t>http://www.leiroc.org/</w:t>
        </w:r>
      </w:hyperlink>
      <w:r w:rsidRPr="00394DD4">
        <w:t xml:space="preserve">. </w:t>
      </w:r>
    </w:p>
  </w:footnote>
  <w:footnote w:id="7">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t>Vahendaja ülemaailmne identifitseerimisnumber (GIIN) on identifitseerimisnumber, mille on teatud finantsasutustele määranud Ameerika Ühendriikide maksuamet.</w:t>
      </w:r>
    </w:p>
  </w:footnote>
  <w:footnote w:id="8">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r>
      <w:r w:rsidRPr="00394DD4">
        <w:rPr>
          <w:i/>
        </w:rPr>
        <w:t xml:space="preserve">Rahapesu ning terrorismi ja massihävitusrelvade leviku rahastamise vastu võitlemise rahvusvahelised standardid, </w:t>
      </w:r>
      <w:r w:rsidRPr="00394DD4">
        <w:t xml:space="preserve">rahapesuvastase töökonna soovitused, veebruar 2012, FATF/OECD, Pariis, 2013, kättesaadav aadressil </w:t>
      </w:r>
      <w:hyperlink r:id="rId3">
        <w:r w:rsidRPr="00394DD4">
          <w:rPr>
            <w:rStyle w:val="Hperlink"/>
          </w:rPr>
          <w:t>http://www.fatf-gafi.org/media/fatf/documents/recommendations/pdfs/FATF_Recommendations.pdf</w:t>
        </w:r>
      </w:hyperlink>
      <w:r w:rsidRPr="00394DD4">
        <w:t>.</w:t>
      </w:r>
    </w:p>
  </w:footnote>
  <w:footnote w:id="9">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r>
      <w:r w:rsidRPr="00394DD4">
        <w:rPr>
          <w:i/>
        </w:rPr>
        <w:t xml:space="preserve">Rahapesu ning terrorismi ja massihävitusrelvade leviku rahastamise vastu võitlemise rahvusvahelised standardid, </w:t>
      </w:r>
      <w:r w:rsidRPr="00394DD4">
        <w:t xml:space="preserve">rahapesuvastase töökonna soovitused, veebruar 2012, FATF/OECD, Pariis, 2013, kättesaadav aadressil </w:t>
      </w:r>
      <w:hyperlink r:id="rId4">
        <w:r w:rsidRPr="00394DD4">
          <w:rPr>
            <w:rStyle w:val="Hperlink"/>
          </w:rPr>
          <w:t>http://www.fatf-gafi.org/media/fatf/documents/recommendations/pdfs/FATF_Recommendations.pdf</w:t>
        </w:r>
      </w:hyperlink>
      <w:r w:rsidRPr="00394DD4">
        <w:t>.</w:t>
      </w:r>
    </w:p>
  </w:footnote>
  <w:footnote w:id="10">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r>
      <w:r w:rsidRPr="00394DD4">
        <w:rPr>
          <w:i/>
        </w:rPr>
        <w:t xml:space="preserve">Rahapesu ning terrorismi ja massihävitusrelvade leviku rahastamise vastu võitlemise rahvusvahelised standardid, </w:t>
      </w:r>
      <w:r w:rsidRPr="00394DD4">
        <w:t xml:space="preserve">rahapesuvastase töökonna soovitused, veebruar 2012, FATF/OECD, Pariis, 2013, kättesaadav aadressil </w:t>
      </w:r>
      <w:hyperlink r:id="rId5">
        <w:r w:rsidRPr="00394DD4">
          <w:rPr>
            <w:rStyle w:val="Hperlink"/>
          </w:rPr>
          <w:t>http://www.fatf-gafi.org/media/fatf/documents/recommendations/pdfs/FATF_Recommendations.pdf</w:t>
        </w:r>
      </w:hyperlink>
      <w:r w:rsidRPr="00394DD4">
        <w:t>.</w:t>
      </w:r>
    </w:p>
  </w:footnote>
  <w:footnote w:id="11">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t xml:space="preserve">Kättesaadav aadressil </w:t>
      </w:r>
      <w:hyperlink r:id="rId6">
        <w:r w:rsidRPr="00394DD4">
          <w:rPr>
            <w:rStyle w:val="Hperlink"/>
          </w:rPr>
          <w:t>https://www.g20.org/</w:t>
        </w:r>
      </w:hyperlink>
      <w:r w:rsidRPr="00394DD4">
        <w:t>.</w:t>
      </w:r>
    </w:p>
  </w:footnote>
  <w:footnote w:id="12">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t xml:space="preserve">Kättesaadav aadressil </w:t>
      </w:r>
      <w:hyperlink r:id="rId7">
        <w:r w:rsidRPr="00394DD4">
          <w:rPr>
            <w:rStyle w:val="Hperlink"/>
          </w:rPr>
          <w:t>https://www.g20.org/</w:t>
        </w:r>
      </w:hyperlink>
      <w:r w:rsidRPr="00394DD4">
        <w:t>.</w:t>
      </w:r>
    </w:p>
  </w:footnote>
  <w:footnote w:id="13">
    <w:p w:rsidR="00394DD4" w:rsidRPr="00394DD4" w:rsidRDefault="00394DD4" w:rsidP="00394DD4">
      <w:pPr>
        <w:pStyle w:val="Allmrkusetekst"/>
        <w:spacing w:after="0"/>
      </w:pPr>
      <w:r w:rsidRPr="00394DD4">
        <w:rPr>
          <w:rStyle w:val="Allmrkuseviide"/>
          <w:vertAlign w:val="baseline"/>
        </w:rPr>
        <w:footnoteRef/>
      </w:r>
      <w:r w:rsidRPr="00394DD4">
        <w:t xml:space="preserve"> </w:t>
      </w:r>
      <w:r w:rsidRPr="00394DD4">
        <w:tab/>
      </w:r>
      <w:r w:rsidRPr="00394DD4">
        <w:rPr>
          <w:i/>
        </w:rPr>
        <w:t xml:space="preserve">Rahapesu ning terrorismi ja massihävitusrelvade leviku rahastamise vastu võitlemise rahvusvahelised standardid, </w:t>
      </w:r>
      <w:r w:rsidRPr="00394DD4">
        <w:t xml:space="preserve">rahapesuvastase töökonna soovitused, veebruar 2012, FATF/OECD, Pariis 2013, kättesaadav aadressil </w:t>
      </w:r>
      <w:hyperlink r:id="rId8">
        <w:r w:rsidRPr="00394DD4">
          <w:rPr>
            <w:rStyle w:val="Hperlink"/>
          </w:rPr>
          <w:t>http://www.fatf-gafi.org/media/fatf/documents/recommendations/pdfs/FATF_Recommendations.pdf</w:t>
        </w:r>
      </w:hyperlink>
      <w:r w:rsidRPr="00394DD4">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DC1"/>
    <w:multiLevelType w:val="multilevel"/>
    <w:tmpl w:val="C094722C"/>
    <w:name w:val="templateNumber318"/>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15:restartNumberingAfterBreak="0">
    <w:nsid w:val="036F74C9"/>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061D3950"/>
    <w:multiLevelType w:val="multilevel"/>
    <w:tmpl w:val="C094722C"/>
    <w:name w:val="templateNumber3342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15:restartNumberingAfterBreak="0">
    <w:nsid w:val="06F3454C"/>
    <w:multiLevelType w:val="hybridMultilevel"/>
    <w:tmpl w:val="3B5EFDD6"/>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 w15:restartNumberingAfterBreak="0">
    <w:nsid w:val="07F90F62"/>
    <w:multiLevelType w:val="singleLevel"/>
    <w:tmpl w:val="92543CEC"/>
    <w:name w:val="templateBullet1"/>
    <w:lvl w:ilvl="0">
      <w:start w:val="1"/>
      <w:numFmt w:val="bullet"/>
      <w:pStyle w:val="Loenditpp"/>
      <w:lvlText w:val="·"/>
      <w:lvlJc w:val="left"/>
      <w:pPr>
        <w:tabs>
          <w:tab w:val="num" w:pos="850"/>
        </w:tabs>
        <w:ind w:left="850" w:hanging="408"/>
      </w:pPr>
      <w:rPr>
        <w:rFonts w:ascii="Symbol" w:hAnsi="Symbol" w:hint="default"/>
        <w:b w:val="0"/>
        <w:i w:val="0"/>
        <w:sz w:val="22"/>
      </w:rPr>
    </w:lvl>
  </w:abstractNum>
  <w:abstractNum w:abstractNumId="5" w15:restartNumberingAfterBreak="0">
    <w:nsid w:val="088621B5"/>
    <w:multiLevelType w:val="hybridMultilevel"/>
    <w:tmpl w:val="8FF8AEB2"/>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6" w15:restartNumberingAfterBreak="0">
    <w:nsid w:val="0B9F75F4"/>
    <w:multiLevelType w:val="hybridMultilevel"/>
    <w:tmpl w:val="878C6BA4"/>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7" w15:restartNumberingAfterBreak="0">
    <w:nsid w:val="0C890C55"/>
    <w:multiLevelType w:val="singleLevel"/>
    <w:tmpl w:val="3B907396"/>
    <w:name w:val="templateBulletBox3"/>
    <w:lvl w:ilvl="0">
      <w:start w:val="1"/>
      <w:numFmt w:val="bullet"/>
      <w:pStyle w:val="ListBulletBox3"/>
      <w:lvlText w:val="-"/>
      <w:lvlJc w:val="left"/>
      <w:pPr>
        <w:tabs>
          <w:tab w:val="num" w:pos="1474"/>
        </w:tabs>
        <w:ind w:left="1474" w:hanging="340"/>
      </w:pPr>
      <w:rPr>
        <w:rFonts w:ascii="Symbol" w:hAnsi="Symbol" w:hint="default"/>
        <w:b w:val="0"/>
        <w:i w:val="0"/>
        <w:sz w:val="22"/>
      </w:rPr>
    </w:lvl>
  </w:abstractNum>
  <w:abstractNum w:abstractNumId="8" w15:restartNumberingAfterBreak="0">
    <w:nsid w:val="0C914643"/>
    <w:multiLevelType w:val="multilevel"/>
    <w:tmpl w:val="C094722C"/>
    <w:name w:val="templateNumber334"/>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15:restartNumberingAfterBreak="0">
    <w:nsid w:val="0CBE0FF0"/>
    <w:multiLevelType w:val="singleLevel"/>
    <w:tmpl w:val="30A47C7E"/>
    <w:styleLink w:val="BulletedNote"/>
    <w:lvl w:ilvl="0">
      <w:start w:val="1"/>
      <w:numFmt w:val="bullet"/>
      <w:lvlText w:val="·"/>
      <w:lvlJc w:val="left"/>
      <w:pPr>
        <w:tabs>
          <w:tab w:val="num" w:pos="283"/>
        </w:tabs>
        <w:ind w:left="283" w:hanging="283"/>
      </w:pPr>
      <w:rPr>
        <w:rFonts w:ascii="Times New Roman" w:hAnsi="Times New Roman"/>
        <w:b w:val="0"/>
        <w:i w:val="0"/>
        <w:sz w:val="22"/>
      </w:rPr>
    </w:lvl>
  </w:abstractNum>
  <w:abstractNum w:abstractNumId="10" w15:restartNumberingAfterBreak="0">
    <w:nsid w:val="0DEA6B1D"/>
    <w:multiLevelType w:val="singleLevel"/>
    <w:tmpl w:val="8E4C8E2C"/>
    <w:styleLink w:val="NumericNote"/>
    <w:lvl w:ilvl="0">
      <w:start w:val="1"/>
      <w:numFmt w:val="decimal"/>
      <w:lvlText w:val="%1."/>
      <w:lvlJc w:val="left"/>
      <w:pPr>
        <w:tabs>
          <w:tab w:val="num" w:pos="408"/>
        </w:tabs>
        <w:ind w:left="408" w:hanging="408"/>
      </w:pPr>
      <w:rPr>
        <w:rFonts w:cs="Times New Roman"/>
      </w:rPr>
    </w:lvl>
  </w:abstractNum>
  <w:abstractNum w:abstractNumId="11" w15:restartNumberingAfterBreak="0">
    <w:nsid w:val="1293390D"/>
    <w:multiLevelType w:val="multilevel"/>
    <w:tmpl w:val="C094722C"/>
    <w:name w:val="templateNumber317"/>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12FE4AF5"/>
    <w:multiLevelType w:val="singleLevel"/>
    <w:tmpl w:val="B882C7F8"/>
    <w:styleLink w:val="NumberedNote"/>
    <w:lvl w:ilvl="0">
      <w:start w:val="1"/>
      <w:numFmt w:val="decimal"/>
      <w:lvlText w:val="%1."/>
      <w:lvlJc w:val="left"/>
      <w:pPr>
        <w:tabs>
          <w:tab w:val="num" w:pos="171"/>
        </w:tabs>
        <w:ind w:left="171" w:hanging="171"/>
      </w:pPr>
      <w:rPr>
        <w:rFonts w:cs="Times New Roman"/>
      </w:rPr>
    </w:lvl>
  </w:abstractNum>
  <w:abstractNum w:abstractNumId="13" w15:restartNumberingAfterBreak="0">
    <w:nsid w:val="14453CAF"/>
    <w:multiLevelType w:val="multilevel"/>
    <w:tmpl w:val="845A151C"/>
    <w:name w:val="templateNumber4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17334177"/>
    <w:multiLevelType w:val="multilevel"/>
    <w:tmpl w:val="845A151C"/>
    <w:name w:val="templateNumber4"/>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5" w15:restartNumberingAfterBreak="0">
    <w:nsid w:val="18E00235"/>
    <w:multiLevelType w:val="multilevel"/>
    <w:tmpl w:val="C094722C"/>
    <w:name w:val="templateNumber31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15:restartNumberingAfterBreak="0">
    <w:nsid w:val="192C74AB"/>
    <w:multiLevelType w:val="multilevel"/>
    <w:tmpl w:val="845A151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1B500C93"/>
    <w:multiLevelType w:val="multilevel"/>
    <w:tmpl w:val="845A151C"/>
    <w:name w:val="templateNumber5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1B9269FB"/>
    <w:multiLevelType w:val="multilevel"/>
    <w:tmpl w:val="C094722C"/>
    <w:name w:val="templateNumber31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9" w15:restartNumberingAfterBreak="0">
    <w:nsid w:val="1D822A0F"/>
    <w:multiLevelType w:val="hybridMultilevel"/>
    <w:tmpl w:val="B040150E"/>
    <w:lvl w:ilvl="0" w:tplc="9BC67F70">
      <w:start w:val="1"/>
      <w:numFmt w:val="decimal"/>
      <w:lvlText w:val="%1."/>
      <w:lvlJc w:val="left"/>
      <w:pPr>
        <w:ind w:left="720" w:hanging="360"/>
      </w:pPr>
      <w:rPr>
        <w:strike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0" w15:restartNumberingAfterBreak="0">
    <w:nsid w:val="1FB22BB5"/>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1" w15:restartNumberingAfterBreak="0">
    <w:nsid w:val="20DE1B53"/>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210A2695"/>
    <w:multiLevelType w:val="hybridMultilevel"/>
    <w:tmpl w:val="9A0ADDBC"/>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3" w15:restartNumberingAfterBreak="0">
    <w:nsid w:val="21531F61"/>
    <w:multiLevelType w:val="hybridMultilevel"/>
    <w:tmpl w:val="169CC20C"/>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4" w15:restartNumberingAfterBreak="0">
    <w:nsid w:val="224616C8"/>
    <w:multiLevelType w:val="multilevel"/>
    <w:tmpl w:val="845A151C"/>
    <w:name w:val="templateNumber422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15:restartNumberingAfterBreak="0">
    <w:nsid w:val="27B9215A"/>
    <w:multiLevelType w:val="multilevel"/>
    <w:tmpl w:val="C094722C"/>
    <w:name w:val="templateNumber32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15:restartNumberingAfterBreak="0">
    <w:nsid w:val="27BA4AF5"/>
    <w:multiLevelType w:val="multilevel"/>
    <w:tmpl w:val="C094722C"/>
    <w:name w:val="templateNumber328"/>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29682EF7"/>
    <w:multiLevelType w:val="multilevel"/>
    <w:tmpl w:val="C094722C"/>
    <w:name w:val="templateNumber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2ACF6F84"/>
    <w:multiLevelType w:val="singleLevel"/>
    <w:tmpl w:val="C994E9E0"/>
    <w:name w:val="templateBullet2"/>
    <w:lvl w:ilvl="0">
      <w:start w:val="1"/>
      <w:numFmt w:val="bullet"/>
      <w:pStyle w:val="Loenditpp2"/>
      <w:lvlText w:val="-"/>
      <w:lvlJc w:val="left"/>
      <w:pPr>
        <w:tabs>
          <w:tab w:val="num" w:pos="1190"/>
        </w:tabs>
        <w:ind w:left="1190" w:hanging="340"/>
      </w:pPr>
      <w:rPr>
        <w:rFonts w:ascii="Symbol" w:hAnsi="Symbol" w:hint="default"/>
        <w:b w:val="0"/>
        <w:i w:val="0"/>
        <w:sz w:val="22"/>
      </w:rPr>
    </w:lvl>
  </w:abstractNum>
  <w:abstractNum w:abstractNumId="29" w15:restartNumberingAfterBreak="0">
    <w:nsid w:val="2C916B5A"/>
    <w:multiLevelType w:val="multilevel"/>
    <w:tmpl w:val="845A151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15:restartNumberingAfterBreak="0">
    <w:nsid w:val="2DE3139A"/>
    <w:multiLevelType w:val="multilevel"/>
    <w:tmpl w:val="294EDECE"/>
    <w:name w:val="templateNumber522"/>
    <w:lvl w:ilvl="0">
      <w:start w:val="1"/>
      <w:numFmt w:val="lowerLetter"/>
      <w:lvlText w:val="%1)"/>
      <w:lvlJc w:val="left"/>
      <w:pPr>
        <w:tabs>
          <w:tab w:val="num" w:pos="850"/>
        </w:tabs>
        <w:ind w:left="850" w:hanging="408"/>
      </w:pPr>
      <w:rPr>
        <w:rFonts w:cs="Times New Roman"/>
      </w:rPr>
    </w:lvl>
    <w:lvl w:ilvl="1">
      <w:start w:val="1"/>
      <w:numFmt w:val="lowerRoman"/>
      <w:lvlText w:val="%2."/>
      <w:lvlJc w:val="lef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1" w15:restartNumberingAfterBreak="0">
    <w:nsid w:val="2E5D6C65"/>
    <w:multiLevelType w:val="hybridMultilevel"/>
    <w:tmpl w:val="6E16D486"/>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2" w15:restartNumberingAfterBreak="0">
    <w:nsid w:val="304C18A2"/>
    <w:multiLevelType w:val="hybridMultilevel"/>
    <w:tmpl w:val="D01C4C9A"/>
    <w:lvl w:ilvl="0" w:tplc="9BC67F70">
      <w:start w:val="1"/>
      <w:numFmt w:val="decimal"/>
      <w:lvlText w:val="%1."/>
      <w:lvlJc w:val="left"/>
      <w:pPr>
        <w:ind w:left="720" w:hanging="360"/>
      </w:pPr>
      <w:rPr>
        <w:strike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33" w15:restartNumberingAfterBreak="0">
    <w:nsid w:val="31833E6F"/>
    <w:multiLevelType w:val="multilevel"/>
    <w:tmpl w:val="C094722C"/>
    <w:name w:val="templateNumber334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385D0A84"/>
    <w:multiLevelType w:val="multilevel"/>
    <w:tmpl w:val="A7261172"/>
    <w:name w:val="templateNumberBox"/>
    <w:lvl w:ilvl="0">
      <w:start w:val="1"/>
      <w:numFmt w:val="lowerLetter"/>
      <w:pStyle w:val="ListNumberBox"/>
      <w:lvlText w:val="%1)"/>
      <w:lvlJc w:val="left"/>
      <w:pPr>
        <w:tabs>
          <w:tab w:val="num" w:pos="1950"/>
        </w:tabs>
        <w:ind w:left="1950" w:hanging="408"/>
      </w:pPr>
      <w:rPr>
        <w:rFonts w:cs="Times New Roman"/>
      </w:rPr>
    </w:lvl>
    <w:lvl w:ilvl="1">
      <w:start w:val="1"/>
      <w:numFmt w:val="decimal"/>
      <w:pStyle w:val="ListNumberBox2"/>
      <w:lvlText w:val="%2."/>
      <w:lvlJc w:val="right"/>
      <w:pPr>
        <w:tabs>
          <w:tab w:val="num" w:pos="2291"/>
        </w:tabs>
        <w:ind w:left="2291" w:hanging="341"/>
      </w:pPr>
      <w:rPr>
        <w:rFonts w:cs="Times New Roman"/>
      </w:rPr>
    </w:lvl>
    <w:lvl w:ilvl="2">
      <w:start w:val="1"/>
      <w:numFmt w:val="decimal"/>
      <w:pStyle w:val="ListNumberBox3"/>
      <w:lvlText w:val="%3."/>
      <w:lvlJc w:val="right"/>
      <w:pPr>
        <w:tabs>
          <w:tab w:val="num" w:pos="2574"/>
        </w:tabs>
        <w:ind w:left="2574" w:hanging="340"/>
      </w:pPr>
      <w:rPr>
        <w:rFonts w:cs="Times New Roman"/>
      </w:rPr>
    </w:lvl>
    <w:lvl w:ilvl="3">
      <w:start w:val="1"/>
      <w:numFmt w:val="decimal"/>
      <w:lvlText w:val="(%4)"/>
      <w:lvlJc w:val="left"/>
      <w:pPr>
        <w:tabs>
          <w:tab w:val="num" w:pos="9618"/>
        </w:tabs>
        <w:ind w:left="9618" w:hanging="360"/>
      </w:pPr>
      <w:rPr>
        <w:rFonts w:cs="Times New Roman"/>
      </w:rPr>
    </w:lvl>
    <w:lvl w:ilvl="4">
      <w:start w:val="1"/>
      <w:numFmt w:val="lowerLetter"/>
      <w:lvlText w:val="(%5)"/>
      <w:lvlJc w:val="left"/>
      <w:pPr>
        <w:tabs>
          <w:tab w:val="num" w:pos="9978"/>
        </w:tabs>
        <w:ind w:left="9978" w:hanging="360"/>
      </w:pPr>
      <w:rPr>
        <w:rFonts w:cs="Times New Roman"/>
      </w:rPr>
    </w:lvl>
    <w:lvl w:ilvl="5">
      <w:start w:val="1"/>
      <w:numFmt w:val="lowerRoman"/>
      <w:lvlText w:val="(%6)"/>
      <w:lvlJc w:val="left"/>
      <w:pPr>
        <w:tabs>
          <w:tab w:val="num" w:pos="10338"/>
        </w:tabs>
        <w:ind w:left="10338" w:hanging="360"/>
      </w:pPr>
      <w:rPr>
        <w:rFonts w:cs="Times New Roman"/>
      </w:rPr>
    </w:lvl>
    <w:lvl w:ilvl="6">
      <w:start w:val="1"/>
      <w:numFmt w:val="decimal"/>
      <w:lvlText w:val="%7."/>
      <w:lvlJc w:val="left"/>
      <w:pPr>
        <w:tabs>
          <w:tab w:val="num" w:pos="10698"/>
        </w:tabs>
        <w:ind w:left="10698" w:hanging="360"/>
      </w:pPr>
      <w:rPr>
        <w:rFonts w:cs="Times New Roman"/>
      </w:rPr>
    </w:lvl>
    <w:lvl w:ilvl="7">
      <w:start w:val="1"/>
      <w:numFmt w:val="lowerLetter"/>
      <w:lvlText w:val="%8."/>
      <w:lvlJc w:val="left"/>
      <w:pPr>
        <w:tabs>
          <w:tab w:val="num" w:pos="11058"/>
        </w:tabs>
        <w:ind w:left="11058" w:hanging="360"/>
      </w:pPr>
      <w:rPr>
        <w:rFonts w:cs="Times New Roman"/>
      </w:rPr>
    </w:lvl>
    <w:lvl w:ilvl="8">
      <w:start w:val="1"/>
      <w:numFmt w:val="lowerRoman"/>
      <w:lvlText w:val="%9."/>
      <w:lvlJc w:val="left"/>
      <w:pPr>
        <w:tabs>
          <w:tab w:val="num" w:pos="11418"/>
        </w:tabs>
        <w:ind w:left="11418" w:hanging="360"/>
      </w:pPr>
      <w:rPr>
        <w:rFonts w:cs="Times New Roman"/>
      </w:rPr>
    </w:lvl>
  </w:abstractNum>
  <w:abstractNum w:abstractNumId="35" w15:restartNumberingAfterBreak="0">
    <w:nsid w:val="3C5C65EE"/>
    <w:multiLevelType w:val="multilevel"/>
    <w:tmpl w:val="66845AE0"/>
    <w:name w:val="templateNumber38"/>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15:restartNumberingAfterBreak="0">
    <w:nsid w:val="3E6B4C0C"/>
    <w:multiLevelType w:val="multilevel"/>
    <w:tmpl w:val="C094722C"/>
    <w:name w:val="templateNumber320"/>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7" w15:restartNumberingAfterBreak="0">
    <w:nsid w:val="40791838"/>
    <w:multiLevelType w:val="multilevel"/>
    <w:tmpl w:val="C094722C"/>
    <w:name w:val="templateNumber316"/>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8" w15:restartNumberingAfterBreak="0">
    <w:nsid w:val="43363507"/>
    <w:multiLevelType w:val="multilevel"/>
    <w:tmpl w:val="C094722C"/>
    <w:name w:val="templateNumber315"/>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9" w15:restartNumberingAfterBreak="0">
    <w:nsid w:val="43474504"/>
    <w:multiLevelType w:val="multilevel"/>
    <w:tmpl w:val="C094722C"/>
    <w:name w:val="templateNumber321"/>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4491374C"/>
    <w:multiLevelType w:val="hybridMultilevel"/>
    <w:tmpl w:val="B040150E"/>
    <w:lvl w:ilvl="0" w:tplc="9BC67F70">
      <w:start w:val="1"/>
      <w:numFmt w:val="decimal"/>
      <w:lvlText w:val="%1."/>
      <w:lvlJc w:val="left"/>
      <w:pPr>
        <w:ind w:left="720" w:hanging="360"/>
      </w:pPr>
      <w:rPr>
        <w:strike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1" w15:restartNumberingAfterBreak="0">
    <w:nsid w:val="47512158"/>
    <w:multiLevelType w:val="hybridMultilevel"/>
    <w:tmpl w:val="504E2118"/>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2" w15:restartNumberingAfterBreak="0">
    <w:nsid w:val="486C1BB2"/>
    <w:multiLevelType w:val="hybridMultilevel"/>
    <w:tmpl w:val="B040150E"/>
    <w:lvl w:ilvl="0" w:tplc="9BC67F70">
      <w:start w:val="1"/>
      <w:numFmt w:val="decimal"/>
      <w:lvlText w:val="%1."/>
      <w:lvlJc w:val="left"/>
      <w:pPr>
        <w:ind w:left="720" w:hanging="360"/>
      </w:pPr>
      <w:rPr>
        <w:strike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3" w15:restartNumberingAfterBreak="0">
    <w:nsid w:val="48BB7503"/>
    <w:multiLevelType w:val="singleLevel"/>
    <w:tmpl w:val="A12EFD98"/>
    <w:styleLink w:val="AlphaNote"/>
    <w:lvl w:ilvl="0">
      <w:start w:val="1"/>
      <w:numFmt w:val="lowerLetter"/>
      <w:lvlText w:val="%1."/>
      <w:lvlJc w:val="left"/>
      <w:pPr>
        <w:tabs>
          <w:tab w:val="num" w:pos="408"/>
        </w:tabs>
        <w:ind w:left="408" w:hanging="408"/>
      </w:pPr>
      <w:rPr>
        <w:rFonts w:cs="Times New Roman"/>
      </w:rPr>
    </w:lvl>
  </w:abstractNum>
  <w:abstractNum w:abstractNumId="44" w15:restartNumberingAfterBreak="0">
    <w:nsid w:val="48EC55A8"/>
    <w:multiLevelType w:val="singleLevel"/>
    <w:tmpl w:val="0BC4D440"/>
    <w:name w:val="templateBullet3"/>
    <w:lvl w:ilvl="0">
      <w:start w:val="1"/>
      <w:numFmt w:val="bullet"/>
      <w:pStyle w:val="Loenditpp3"/>
      <w:lvlText w:val="-"/>
      <w:lvlJc w:val="left"/>
      <w:pPr>
        <w:tabs>
          <w:tab w:val="num" w:pos="1474"/>
        </w:tabs>
        <w:ind w:left="1474" w:hanging="340"/>
      </w:pPr>
      <w:rPr>
        <w:rFonts w:ascii="Symbol" w:hAnsi="Symbol" w:hint="default"/>
        <w:b w:val="0"/>
        <w:i w:val="0"/>
        <w:sz w:val="22"/>
      </w:rPr>
    </w:lvl>
  </w:abstractNum>
  <w:abstractNum w:abstractNumId="45" w15:restartNumberingAfterBreak="0">
    <w:nsid w:val="48F21DA0"/>
    <w:multiLevelType w:val="hybridMultilevel"/>
    <w:tmpl w:val="6E16D486"/>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6" w15:restartNumberingAfterBreak="0">
    <w:nsid w:val="4984181A"/>
    <w:multiLevelType w:val="multilevel"/>
    <w:tmpl w:val="66845AE0"/>
    <w:name w:val="templateNumber39"/>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7" w15:restartNumberingAfterBreak="0">
    <w:nsid w:val="4AAE47B4"/>
    <w:multiLevelType w:val="singleLevel"/>
    <w:tmpl w:val="79EE4170"/>
    <w:name w:val="templateBulletBox2"/>
    <w:lvl w:ilvl="0">
      <w:start w:val="1"/>
      <w:numFmt w:val="bullet"/>
      <w:pStyle w:val="ListBulletBox2"/>
      <w:lvlText w:val="-"/>
      <w:lvlJc w:val="left"/>
      <w:pPr>
        <w:tabs>
          <w:tab w:val="num" w:pos="1191"/>
        </w:tabs>
        <w:ind w:left="1191" w:hanging="340"/>
      </w:pPr>
      <w:rPr>
        <w:rFonts w:ascii="Symbol" w:hAnsi="Symbol" w:hint="default"/>
        <w:b w:val="0"/>
        <w:i w:val="0"/>
        <w:sz w:val="22"/>
      </w:rPr>
    </w:lvl>
  </w:abstractNum>
  <w:abstractNum w:abstractNumId="48" w15:restartNumberingAfterBreak="0">
    <w:nsid w:val="52AB33DE"/>
    <w:multiLevelType w:val="hybridMultilevel"/>
    <w:tmpl w:val="09A4124A"/>
    <w:lvl w:ilvl="0" w:tplc="88C68096">
      <w:start w:val="1"/>
      <w:numFmt w:val="decimal"/>
      <w:lvlText w:val="%1."/>
      <w:lvlJc w:val="left"/>
      <w:pPr>
        <w:ind w:left="720" w:hanging="360"/>
      </w:pPr>
      <w:rPr>
        <w:b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9" w15:restartNumberingAfterBreak="0">
    <w:nsid w:val="56401310"/>
    <w:multiLevelType w:val="multilevel"/>
    <w:tmpl w:val="845A151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0" w15:restartNumberingAfterBreak="0">
    <w:nsid w:val="56BE6F79"/>
    <w:multiLevelType w:val="singleLevel"/>
    <w:tmpl w:val="5C024276"/>
    <w:name w:val="templateBullet4"/>
    <w:lvl w:ilvl="0">
      <w:start w:val="1"/>
      <w:numFmt w:val="bullet"/>
      <w:pStyle w:val="Loenditpp4"/>
      <w:lvlText w:val="-"/>
      <w:lvlJc w:val="left"/>
      <w:pPr>
        <w:tabs>
          <w:tab w:val="num" w:pos="1757"/>
        </w:tabs>
        <w:ind w:left="1757" w:hanging="340"/>
      </w:pPr>
      <w:rPr>
        <w:rFonts w:ascii="Symbol" w:hAnsi="Symbol" w:hint="default"/>
        <w:b w:val="0"/>
        <w:i w:val="0"/>
        <w:sz w:val="22"/>
      </w:rPr>
    </w:lvl>
  </w:abstractNum>
  <w:abstractNum w:abstractNumId="51" w15:restartNumberingAfterBreak="0">
    <w:nsid w:val="5B842E97"/>
    <w:multiLevelType w:val="multilevel"/>
    <w:tmpl w:val="C094722C"/>
    <w:name w:val="templateNumber325"/>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2" w15:restartNumberingAfterBreak="0">
    <w:nsid w:val="5B9947C9"/>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3" w15:restartNumberingAfterBreak="0">
    <w:nsid w:val="5C8E0CA3"/>
    <w:multiLevelType w:val="singleLevel"/>
    <w:tmpl w:val="C170771A"/>
    <w:name w:val="templateBullet5"/>
    <w:lvl w:ilvl="0">
      <w:start w:val="1"/>
      <w:numFmt w:val="bullet"/>
      <w:pStyle w:val="Loenditpp5"/>
      <w:lvlText w:val="-"/>
      <w:lvlJc w:val="left"/>
      <w:pPr>
        <w:tabs>
          <w:tab w:val="num" w:pos="2041"/>
        </w:tabs>
        <w:ind w:left="2041" w:hanging="340"/>
      </w:pPr>
      <w:rPr>
        <w:rFonts w:ascii="Symbol" w:hAnsi="Symbol" w:hint="default"/>
        <w:b w:val="0"/>
        <w:i w:val="0"/>
        <w:sz w:val="22"/>
      </w:rPr>
    </w:lvl>
  </w:abstractNum>
  <w:abstractNum w:abstractNumId="54" w15:restartNumberingAfterBreak="0">
    <w:nsid w:val="5C920B0B"/>
    <w:multiLevelType w:val="hybridMultilevel"/>
    <w:tmpl w:val="6E16D486"/>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5" w15:restartNumberingAfterBreak="0">
    <w:nsid w:val="5DDA37D9"/>
    <w:multiLevelType w:val="multilevel"/>
    <w:tmpl w:val="845A151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6" w15:restartNumberingAfterBreak="0">
    <w:nsid w:val="5E731A9B"/>
    <w:multiLevelType w:val="hybridMultilevel"/>
    <w:tmpl w:val="7AA470A8"/>
    <w:lvl w:ilvl="0" w:tplc="9BC67F70">
      <w:start w:val="1"/>
      <w:numFmt w:val="decimal"/>
      <w:lvlText w:val="%1."/>
      <w:lvlJc w:val="left"/>
      <w:pPr>
        <w:ind w:left="720" w:hanging="360"/>
      </w:pPr>
      <w:rPr>
        <w:strike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7" w15:restartNumberingAfterBreak="0">
    <w:nsid w:val="5F2854A3"/>
    <w:multiLevelType w:val="multilevel"/>
    <w:tmpl w:val="845A151C"/>
    <w:name w:val="templateNumber4222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8" w15:restartNumberingAfterBreak="0">
    <w:nsid w:val="60B96DEE"/>
    <w:multiLevelType w:val="hybridMultilevel"/>
    <w:tmpl w:val="9772546C"/>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9" w15:restartNumberingAfterBreak="0">
    <w:nsid w:val="63E515CF"/>
    <w:multiLevelType w:val="singleLevel"/>
    <w:tmpl w:val="7A2C64E8"/>
    <w:name w:val="templateBulletBox1"/>
    <w:lvl w:ilvl="0">
      <w:start w:val="1"/>
      <w:numFmt w:val="bullet"/>
      <w:pStyle w:val="ListBulletBox"/>
      <w:lvlText w:val="·"/>
      <w:lvlJc w:val="left"/>
      <w:pPr>
        <w:tabs>
          <w:tab w:val="num" w:pos="850"/>
        </w:tabs>
        <w:ind w:left="850" w:hanging="408"/>
      </w:pPr>
      <w:rPr>
        <w:rFonts w:ascii="Symbol" w:hAnsi="Symbol" w:hint="default"/>
        <w:b w:val="0"/>
        <w:i w:val="0"/>
        <w:sz w:val="22"/>
      </w:rPr>
    </w:lvl>
  </w:abstractNum>
  <w:abstractNum w:abstractNumId="60" w15:restartNumberingAfterBreak="0">
    <w:nsid w:val="653A3C40"/>
    <w:multiLevelType w:val="multilevel"/>
    <w:tmpl w:val="C094722C"/>
    <w:name w:val="templateNumber32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1" w15:restartNumberingAfterBreak="0">
    <w:nsid w:val="667F5079"/>
    <w:multiLevelType w:val="hybridMultilevel"/>
    <w:tmpl w:val="0BC4C8A8"/>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2" w15:restartNumberingAfterBreak="0">
    <w:nsid w:val="68B65CBD"/>
    <w:multiLevelType w:val="hybridMultilevel"/>
    <w:tmpl w:val="0AF4899E"/>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63" w15:restartNumberingAfterBreak="0">
    <w:nsid w:val="69AB12CB"/>
    <w:multiLevelType w:val="multilevel"/>
    <w:tmpl w:val="C094722C"/>
    <w:name w:val="templateNumber314"/>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4" w15:restartNumberingAfterBreak="0">
    <w:nsid w:val="69C87383"/>
    <w:multiLevelType w:val="multilevel"/>
    <w:tmpl w:val="C094722C"/>
    <w:name w:val="templateNumber326"/>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5" w15:restartNumberingAfterBreak="0">
    <w:nsid w:val="6AA46154"/>
    <w:multiLevelType w:val="multilevel"/>
    <w:tmpl w:val="5F128A0A"/>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6" w15:restartNumberingAfterBreak="0">
    <w:nsid w:val="6C56749E"/>
    <w:multiLevelType w:val="hybridMultilevel"/>
    <w:tmpl w:val="5D1EA1F8"/>
    <w:lvl w:ilvl="0" w:tplc="19FEAD70">
      <w:start w:val="1"/>
      <w:numFmt w:val="decimal"/>
      <w:lvlText w:val="%1."/>
      <w:lvlJc w:val="left"/>
      <w:pPr>
        <w:ind w:left="720" w:hanging="360"/>
      </w:pPr>
      <w:rPr>
        <w:i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67" w15:restartNumberingAfterBreak="0">
    <w:nsid w:val="6DD96E6F"/>
    <w:multiLevelType w:val="multilevel"/>
    <w:tmpl w:val="C094722C"/>
    <w:name w:val="templateNumber33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8" w15:restartNumberingAfterBreak="0">
    <w:nsid w:val="6E4D5CB7"/>
    <w:multiLevelType w:val="multilevel"/>
    <w:tmpl w:val="C094722C"/>
    <w:name w:val="templateNumber332"/>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9" w15:restartNumberingAfterBreak="0">
    <w:nsid w:val="6F71059E"/>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0" w15:restartNumberingAfterBreak="0">
    <w:nsid w:val="711E59B8"/>
    <w:multiLevelType w:val="hybridMultilevel"/>
    <w:tmpl w:val="2F064532"/>
    <w:lvl w:ilvl="0" w:tplc="0425000F">
      <w:start w:val="1"/>
      <w:numFmt w:val="decimal"/>
      <w:lvlText w:val="%1."/>
      <w:lvlJc w:val="left"/>
      <w:pPr>
        <w:ind w:left="720" w:hanging="360"/>
      </w:p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71" w15:restartNumberingAfterBreak="0">
    <w:nsid w:val="7C0053DA"/>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2" w15:restartNumberingAfterBreak="0">
    <w:nsid w:val="7CE073FB"/>
    <w:multiLevelType w:val="multilevel"/>
    <w:tmpl w:val="845A151C"/>
    <w:name w:val="templateNumber422223"/>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3" w15:restartNumberingAfterBreak="0">
    <w:nsid w:val="7D207E53"/>
    <w:multiLevelType w:val="multilevel"/>
    <w:tmpl w:val="C094722C"/>
    <w:name w:val="templateNumber319"/>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4" w15:restartNumberingAfterBreak="0">
    <w:nsid w:val="7D725D0F"/>
    <w:multiLevelType w:val="multilevel"/>
    <w:tmpl w:val="91C23E5A"/>
    <w:name w:val="templateNumber42"/>
    <w:lvl w:ilvl="0">
      <w:start w:val="1"/>
      <w:numFmt w:val="lowerLetter"/>
      <w:lvlText w:val="%1)"/>
      <w:lvlJc w:val="left"/>
      <w:pPr>
        <w:tabs>
          <w:tab w:val="num" w:pos="850"/>
        </w:tabs>
        <w:ind w:left="850" w:hanging="408"/>
      </w:pPr>
      <w:rPr>
        <w:rFonts w:cs="Times New Roman"/>
        <w:i w:val="0"/>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75" w15:restartNumberingAfterBreak="0">
    <w:nsid w:val="7DB55035"/>
    <w:multiLevelType w:val="multilevel"/>
    <w:tmpl w:val="C094722C"/>
    <w:lvl w:ilvl="0">
      <w:start w:val="1"/>
      <w:numFmt w:val="lowerLetter"/>
      <w:lvlText w:val="%1)"/>
      <w:lvlJc w:val="left"/>
      <w:pPr>
        <w:tabs>
          <w:tab w:val="num" w:pos="850"/>
        </w:tabs>
        <w:ind w:left="850" w:hanging="408"/>
      </w:pPr>
      <w:rPr>
        <w:rFonts w:cs="Times New Roman"/>
      </w:rPr>
    </w:lvl>
    <w:lvl w:ilvl="1">
      <w:start w:val="1"/>
      <w:numFmt w:val="decimal"/>
      <w:lvlText w:val="%2."/>
      <w:lvlJc w:val="right"/>
      <w:pPr>
        <w:tabs>
          <w:tab w:val="num" w:pos="1191"/>
        </w:tabs>
        <w:ind w:left="1191" w:hanging="341"/>
      </w:pPr>
      <w:rPr>
        <w:rFonts w:cs="Times New Roman"/>
      </w:rPr>
    </w:lvl>
    <w:lvl w:ilvl="2">
      <w:start w:val="1"/>
      <w:numFmt w:val="decimal"/>
      <w:lvlText w:val="%3."/>
      <w:lvlJc w:val="right"/>
      <w:pPr>
        <w:tabs>
          <w:tab w:val="num" w:pos="1474"/>
        </w:tabs>
        <w:ind w:left="1474" w:hanging="340"/>
      </w:pPr>
      <w:rPr>
        <w:rFonts w:cs="Times New Roman"/>
      </w:rPr>
    </w:lvl>
    <w:lvl w:ilvl="3">
      <w:start w:val="1"/>
      <w:numFmt w:val="decimal"/>
      <w:lvlText w:val="%4."/>
      <w:lvlJc w:val="right"/>
      <w:pPr>
        <w:tabs>
          <w:tab w:val="num" w:pos="1757"/>
        </w:tabs>
        <w:ind w:left="1757" w:hanging="340"/>
      </w:pPr>
      <w:rPr>
        <w:rFonts w:cs="Times New Roman"/>
      </w:rPr>
    </w:lvl>
    <w:lvl w:ilvl="4">
      <w:start w:val="1"/>
      <w:numFmt w:val="decimal"/>
      <w:lvlText w:val="%5."/>
      <w:lvlJc w:val="right"/>
      <w:pPr>
        <w:tabs>
          <w:tab w:val="num" w:pos="2041"/>
        </w:tabs>
        <w:ind w:left="2041" w:hanging="34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4"/>
  </w:num>
  <w:num w:numId="2">
    <w:abstractNumId w:val="28"/>
  </w:num>
  <w:num w:numId="3">
    <w:abstractNumId w:val="44"/>
  </w:num>
  <w:num w:numId="4">
    <w:abstractNumId w:val="50"/>
  </w:num>
  <w:num w:numId="5">
    <w:abstractNumId w:val="53"/>
  </w:num>
  <w:num w:numId="6">
    <w:abstractNumId w:val="59"/>
  </w:num>
  <w:num w:numId="7">
    <w:abstractNumId w:val="47"/>
  </w:num>
  <w:num w:numId="8">
    <w:abstractNumId w:val="7"/>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0"/>
  </w:num>
  <w:num w:numId="57">
    <w:abstractNumId w:val="12"/>
  </w:num>
  <w:num w:numId="58">
    <w:abstractNumId w:val="43"/>
  </w:num>
  <w:num w:numId="59">
    <w:abstractNumId w:val="5"/>
  </w:num>
  <w:num w:numId="60">
    <w:abstractNumId w:val="62"/>
  </w:num>
  <w:num w:numId="61">
    <w:abstractNumId w:val="3"/>
  </w:num>
  <w:num w:numId="62">
    <w:abstractNumId w:val="58"/>
  </w:num>
  <w:num w:numId="63">
    <w:abstractNumId w:val="23"/>
  </w:num>
  <w:num w:numId="64">
    <w:abstractNumId w:val="66"/>
  </w:num>
  <w:num w:numId="65">
    <w:abstractNumId w:val="70"/>
  </w:num>
  <w:num w:numId="66">
    <w:abstractNumId w:val="48"/>
  </w:num>
  <w:num w:numId="67">
    <w:abstractNumId w:val="42"/>
  </w:num>
  <w:num w:numId="68">
    <w:abstractNumId w:val="56"/>
  </w:num>
  <w:num w:numId="69">
    <w:abstractNumId w:val="54"/>
  </w:num>
  <w:num w:numId="70">
    <w:abstractNumId w:val="45"/>
  </w:num>
  <w:num w:numId="71">
    <w:abstractNumId w:val="31"/>
  </w:num>
  <w:num w:numId="72">
    <w:abstractNumId w:val="6"/>
  </w:num>
  <w:num w:numId="73">
    <w:abstractNumId w:val="19"/>
  </w:num>
  <w:num w:numId="74">
    <w:abstractNumId w:val="40"/>
  </w:num>
  <w:num w:numId="75">
    <w:abstractNumId w:val="32"/>
  </w:num>
  <w:num w:numId="76">
    <w:abstractNumId w:val="4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DDB"/>
    <w:rsid w:val="00000958"/>
    <w:rsid w:val="0000208F"/>
    <w:rsid w:val="00010DDB"/>
    <w:rsid w:val="000919A5"/>
    <w:rsid w:val="00101FF0"/>
    <w:rsid w:val="0013543E"/>
    <w:rsid w:val="0015749A"/>
    <w:rsid w:val="001719DC"/>
    <w:rsid w:val="0026352C"/>
    <w:rsid w:val="002801A8"/>
    <w:rsid w:val="00292F06"/>
    <w:rsid w:val="00324DEF"/>
    <w:rsid w:val="003900DB"/>
    <w:rsid w:val="00394DD4"/>
    <w:rsid w:val="00401E76"/>
    <w:rsid w:val="00452C87"/>
    <w:rsid w:val="004667E3"/>
    <w:rsid w:val="0050451D"/>
    <w:rsid w:val="005C33A2"/>
    <w:rsid w:val="005C3771"/>
    <w:rsid w:val="00635924"/>
    <w:rsid w:val="007223F4"/>
    <w:rsid w:val="007565C9"/>
    <w:rsid w:val="007610DA"/>
    <w:rsid w:val="007D3392"/>
    <w:rsid w:val="008252D5"/>
    <w:rsid w:val="008555E2"/>
    <w:rsid w:val="008A681F"/>
    <w:rsid w:val="00910CAA"/>
    <w:rsid w:val="00914492"/>
    <w:rsid w:val="0094139A"/>
    <w:rsid w:val="00987334"/>
    <w:rsid w:val="00A477F7"/>
    <w:rsid w:val="00A63482"/>
    <w:rsid w:val="00A85DB1"/>
    <w:rsid w:val="00AC24C8"/>
    <w:rsid w:val="00AD2BFF"/>
    <w:rsid w:val="00B518E6"/>
    <w:rsid w:val="00B64662"/>
    <w:rsid w:val="00B838D3"/>
    <w:rsid w:val="00C41415"/>
    <w:rsid w:val="00D04B64"/>
    <w:rsid w:val="00D0509E"/>
    <w:rsid w:val="00D57456"/>
    <w:rsid w:val="00D64A89"/>
    <w:rsid w:val="00D76886"/>
    <w:rsid w:val="00D91E26"/>
    <w:rsid w:val="00DE4EBF"/>
    <w:rsid w:val="00E331D9"/>
    <w:rsid w:val="00E74148"/>
    <w:rsid w:val="00EA38A2"/>
    <w:rsid w:val="00F15FDA"/>
    <w:rsid w:val="00F50904"/>
    <w:rsid w:val="00F8116D"/>
    <w:rsid w:val="00FB7752"/>
    <w:rsid w:val="00FE36DD"/>
  </w:rsids>
  <m:mathPr>
    <m:mathFont m:val="Cambria Math"/>
    <m:brkBin m:val="before"/>
    <m:brkBinSub m:val="--"/>
    <m:smallFrac m:val="0"/>
    <m:dispDef/>
    <m:lMargin m:val="0"/>
    <m:rMargin m:val="0"/>
    <m:defJc m:val="centerGroup"/>
    <m:wrapIndent m:val="1440"/>
    <m:intLim m:val="subSup"/>
    <m:naryLim m:val="undOvr"/>
  </m:mathPr>
  <w:themeFontLang w:val="et-EE"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BB91C155-0773-42C3-A7E9-4F52FE840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et-EE" w:eastAsia="et-EE" w:bidi="et-EE"/>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allaad">
    <w:name w:val="Normal"/>
    <w:qFormat/>
    <w:rsid w:val="00010DDB"/>
    <w:pPr>
      <w:tabs>
        <w:tab w:val="left" w:pos="850"/>
        <w:tab w:val="left" w:pos="1191"/>
        <w:tab w:val="left" w:pos="1531"/>
      </w:tabs>
      <w:spacing w:after="0" w:line="240" w:lineRule="auto"/>
      <w:jc w:val="both"/>
    </w:pPr>
    <w:rPr>
      <w:rFonts w:ascii="Times New Roman" w:hAnsi="Times New Roman" w:cs="Times New Roman"/>
    </w:rPr>
  </w:style>
  <w:style w:type="paragraph" w:styleId="Pealkiri1">
    <w:name w:val="heading 1"/>
    <w:basedOn w:val="Normaallaad"/>
    <w:next w:val="Num-DocParagraph"/>
    <w:link w:val="Pealkiri1Mrk"/>
    <w:uiPriority w:val="9"/>
    <w:qFormat/>
    <w:rsid w:val="00010DDB"/>
    <w:pPr>
      <w:keepNext/>
      <w:spacing w:before="1200" w:after="720"/>
      <w:jc w:val="center"/>
      <w:outlineLvl w:val="0"/>
    </w:pPr>
    <w:rPr>
      <w:b/>
      <w:bCs/>
      <w:caps/>
      <w:kern w:val="28"/>
    </w:rPr>
  </w:style>
  <w:style w:type="paragraph" w:styleId="Pealkiri2">
    <w:name w:val="heading 2"/>
    <w:basedOn w:val="Normaallaad"/>
    <w:next w:val="Num-DocParagraph"/>
    <w:link w:val="Pealkiri2Mrk"/>
    <w:uiPriority w:val="9"/>
    <w:semiHidden/>
    <w:unhideWhenUsed/>
    <w:qFormat/>
    <w:rsid w:val="00010DDB"/>
    <w:pPr>
      <w:keepNext/>
      <w:spacing w:before="240" w:after="240"/>
      <w:outlineLvl w:val="1"/>
    </w:pPr>
    <w:rPr>
      <w:b/>
      <w:bCs/>
    </w:rPr>
  </w:style>
  <w:style w:type="paragraph" w:styleId="Pealkiri3">
    <w:name w:val="heading 3"/>
    <w:basedOn w:val="Normaallaad"/>
    <w:next w:val="Num-DocParagraph"/>
    <w:link w:val="Pealkiri3Mrk"/>
    <w:uiPriority w:val="9"/>
    <w:unhideWhenUsed/>
    <w:qFormat/>
    <w:rsid w:val="00010DDB"/>
    <w:pPr>
      <w:keepNext/>
      <w:spacing w:before="240" w:after="240"/>
      <w:outlineLvl w:val="2"/>
    </w:pPr>
    <w:rPr>
      <w:b/>
      <w:bCs/>
      <w:i/>
      <w:iCs/>
    </w:rPr>
  </w:style>
  <w:style w:type="paragraph" w:styleId="Pealkiri4">
    <w:name w:val="heading 4"/>
    <w:basedOn w:val="Normaallaad"/>
    <w:next w:val="Num-DocParagraph"/>
    <w:link w:val="Pealkiri4Mrk"/>
    <w:uiPriority w:val="9"/>
    <w:semiHidden/>
    <w:unhideWhenUsed/>
    <w:qFormat/>
    <w:rsid w:val="00010DDB"/>
    <w:pPr>
      <w:keepNext/>
      <w:spacing w:before="240" w:after="240"/>
      <w:outlineLvl w:val="3"/>
    </w:pPr>
    <w:rPr>
      <w:i/>
      <w:iCs/>
    </w:rPr>
  </w:style>
  <w:style w:type="paragraph" w:styleId="Pealkiri5">
    <w:name w:val="heading 5"/>
    <w:basedOn w:val="Normaallaad"/>
    <w:next w:val="Num-DocParagraph"/>
    <w:link w:val="Pealkiri5Mrk"/>
    <w:uiPriority w:val="9"/>
    <w:unhideWhenUsed/>
    <w:qFormat/>
    <w:rsid w:val="00010DDB"/>
    <w:pPr>
      <w:spacing w:before="240" w:after="240"/>
      <w:outlineLvl w:val="4"/>
    </w:pPr>
  </w:style>
  <w:style w:type="paragraph" w:styleId="Pealkiri6">
    <w:name w:val="heading 6"/>
    <w:basedOn w:val="Normaallaad"/>
    <w:next w:val="Normaallaad"/>
    <w:link w:val="Pealkiri6Mrk"/>
    <w:uiPriority w:val="9"/>
    <w:semiHidden/>
    <w:unhideWhenUsed/>
    <w:qFormat/>
    <w:rsid w:val="00010DDB"/>
    <w:pPr>
      <w:spacing w:before="240" w:after="60"/>
      <w:outlineLvl w:val="5"/>
    </w:pPr>
    <w:rPr>
      <w:b/>
      <w:bCs/>
    </w:rPr>
  </w:style>
  <w:style w:type="paragraph" w:styleId="Pealkiri7">
    <w:name w:val="heading 7"/>
    <w:basedOn w:val="Normaallaad"/>
    <w:next w:val="Normaallaad"/>
    <w:link w:val="Pealkiri7Mrk"/>
    <w:uiPriority w:val="99"/>
    <w:semiHidden/>
    <w:unhideWhenUsed/>
    <w:qFormat/>
    <w:rsid w:val="00010DDB"/>
    <w:pPr>
      <w:spacing w:before="240" w:after="60"/>
      <w:outlineLvl w:val="6"/>
    </w:pPr>
    <w:rPr>
      <w:sz w:val="24"/>
      <w:szCs w:val="24"/>
    </w:rPr>
  </w:style>
  <w:style w:type="paragraph" w:styleId="Pealkiri8">
    <w:name w:val="heading 8"/>
    <w:basedOn w:val="Normaallaad"/>
    <w:next w:val="Normaallaad"/>
    <w:link w:val="Pealkiri8Mrk"/>
    <w:uiPriority w:val="99"/>
    <w:semiHidden/>
    <w:unhideWhenUsed/>
    <w:qFormat/>
    <w:rsid w:val="00010DDB"/>
    <w:pPr>
      <w:spacing w:before="240" w:after="60"/>
      <w:outlineLvl w:val="7"/>
    </w:pPr>
    <w:rPr>
      <w:i/>
      <w:iCs/>
      <w:sz w:val="24"/>
      <w:szCs w:val="24"/>
    </w:rPr>
  </w:style>
  <w:style w:type="paragraph" w:styleId="Pealkiri9">
    <w:name w:val="heading 9"/>
    <w:basedOn w:val="Normaallaad"/>
    <w:next w:val="Normaallaad"/>
    <w:link w:val="Pealkiri9Mrk"/>
    <w:uiPriority w:val="99"/>
    <w:semiHidden/>
    <w:unhideWhenUsed/>
    <w:qFormat/>
    <w:rsid w:val="00010DDB"/>
    <w:pPr>
      <w:spacing w:before="240" w:after="60"/>
      <w:outlineLvl w:val="8"/>
    </w:pPr>
    <w:rPr>
      <w:rFonts w:ascii="Arial" w:hAnsi="Arial" w:cs="Arial"/>
    </w:rPr>
  </w:style>
  <w:style w:type="character" w:default="1" w:styleId="Liguvaikefont">
    <w:name w:val="Default Paragraph Font"/>
    <w:uiPriority w:val="1"/>
    <w:semiHidden/>
    <w:unhideWhenUsed/>
  </w:style>
  <w:style w:type="table" w:default="1" w:styleId="Normaaltabel">
    <w:name w:val="Normal Table"/>
    <w:uiPriority w:val="99"/>
    <w:semiHidden/>
    <w:unhideWhenUsed/>
    <w:tblPr>
      <w:tblInd w:w="0" w:type="dxa"/>
      <w:tblCellMar>
        <w:top w:w="0" w:type="dxa"/>
        <w:left w:w="108" w:type="dxa"/>
        <w:bottom w:w="0" w:type="dxa"/>
        <w:right w:w="108" w:type="dxa"/>
      </w:tblCellMar>
    </w:tblPr>
  </w:style>
  <w:style w:type="numbering" w:default="1" w:styleId="Loendita">
    <w:name w:val="No List"/>
    <w:uiPriority w:val="99"/>
    <w:semiHidden/>
    <w:unhideWhenUsed/>
  </w:style>
  <w:style w:type="character" w:customStyle="1" w:styleId="Pealkiri1Mrk">
    <w:name w:val="Pealkiri 1 Märk"/>
    <w:basedOn w:val="Liguvaikefont"/>
    <w:link w:val="Pealkiri1"/>
    <w:uiPriority w:val="9"/>
    <w:locked/>
    <w:rsid w:val="00010DDB"/>
    <w:rPr>
      <w:rFonts w:ascii="Times New Roman" w:hAnsi="Times New Roman" w:cs="Times New Roman"/>
      <w:b/>
      <w:bCs/>
      <w:caps/>
      <w:kern w:val="28"/>
      <w:lang w:val="et-EE" w:eastAsia="et-EE"/>
    </w:rPr>
  </w:style>
  <w:style w:type="character" w:customStyle="1" w:styleId="Pealkiri2Mrk">
    <w:name w:val="Pealkiri 2 Märk"/>
    <w:basedOn w:val="Liguvaikefont"/>
    <w:link w:val="Pealkiri2"/>
    <w:uiPriority w:val="9"/>
    <w:semiHidden/>
    <w:locked/>
    <w:rsid w:val="00010DDB"/>
    <w:rPr>
      <w:rFonts w:ascii="Times New Roman" w:hAnsi="Times New Roman" w:cs="Times New Roman"/>
      <w:b/>
      <w:bCs/>
      <w:lang w:val="et-EE" w:eastAsia="et-EE"/>
    </w:rPr>
  </w:style>
  <w:style w:type="character" w:customStyle="1" w:styleId="Pealkiri3Mrk">
    <w:name w:val="Pealkiri 3 Märk"/>
    <w:basedOn w:val="Liguvaikefont"/>
    <w:link w:val="Pealkiri3"/>
    <w:uiPriority w:val="9"/>
    <w:locked/>
    <w:rsid w:val="00010DDB"/>
    <w:rPr>
      <w:rFonts w:ascii="Times New Roman" w:hAnsi="Times New Roman" w:cs="Times New Roman"/>
      <w:b/>
      <w:bCs/>
      <w:i/>
      <w:iCs/>
      <w:lang w:val="et-EE" w:eastAsia="et-EE"/>
    </w:rPr>
  </w:style>
  <w:style w:type="character" w:customStyle="1" w:styleId="Pealkiri4Mrk">
    <w:name w:val="Pealkiri 4 Märk"/>
    <w:basedOn w:val="Liguvaikefont"/>
    <w:link w:val="Pealkiri4"/>
    <w:uiPriority w:val="9"/>
    <w:semiHidden/>
    <w:locked/>
    <w:rsid w:val="00010DDB"/>
    <w:rPr>
      <w:rFonts w:ascii="Times New Roman" w:hAnsi="Times New Roman" w:cs="Times New Roman"/>
      <w:i/>
      <w:iCs/>
      <w:lang w:val="et-EE" w:eastAsia="et-EE"/>
    </w:rPr>
  </w:style>
  <w:style w:type="character" w:customStyle="1" w:styleId="Pealkiri5Mrk">
    <w:name w:val="Pealkiri 5 Märk"/>
    <w:basedOn w:val="Liguvaikefont"/>
    <w:link w:val="Pealkiri5"/>
    <w:uiPriority w:val="9"/>
    <w:locked/>
    <w:rsid w:val="00010DDB"/>
    <w:rPr>
      <w:rFonts w:ascii="Times New Roman" w:hAnsi="Times New Roman" w:cs="Times New Roman"/>
      <w:lang w:val="et-EE" w:eastAsia="et-EE"/>
    </w:rPr>
  </w:style>
  <w:style w:type="character" w:customStyle="1" w:styleId="Pealkiri6Mrk">
    <w:name w:val="Pealkiri 6 Märk"/>
    <w:basedOn w:val="Liguvaikefont"/>
    <w:link w:val="Pealkiri6"/>
    <w:uiPriority w:val="9"/>
    <w:semiHidden/>
    <w:locked/>
    <w:rsid w:val="00010DDB"/>
    <w:rPr>
      <w:rFonts w:ascii="Times New Roman" w:hAnsi="Times New Roman" w:cs="Times New Roman"/>
      <w:b/>
      <w:bCs/>
      <w:lang w:val="et-EE" w:eastAsia="et-EE"/>
    </w:rPr>
  </w:style>
  <w:style w:type="character" w:customStyle="1" w:styleId="Pealkiri7Mrk">
    <w:name w:val="Pealkiri 7 Märk"/>
    <w:basedOn w:val="Liguvaikefont"/>
    <w:link w:val="Pealkiri7"/>
    <w:uiPriority w:val="99"/>
    <w:semiHidden/>
    <w:locked/>
    <w:rsid w:val="00010DDB"/>
    <w:rPr>
      <w:rFonts w:ascii="Times New Roman" w:hAnsi="Times New Roman" w:cs="Times New Roman"/>
      <w:sz w:val="24"/>
      <w:szCs w:val="24"/>
      <w:lang w:val="et-EE" w:eastAsia="et-EE"/>
    </w:rPr>
  </w:style>
  <w:style w:type="character" w:customStyle="1" w:styleId="Pealkiri8Mrk">
    <w:name w:val="Pealkiri 8 Märk"/>
    <w:basedOn w:val="Liguvaikefont"/>
    <w:link w:val="Pealkiri8"/>
    <w:uiPriority w:val="99"/>
    <w:semiHidden/>
    <w:locked/>
    <w:rsid w:val="00010DDB"/>
    <w:rPr>
      <w:rFonts w:ascii="Times New Roman" w:hAnsi="Times New Roman" w:cs="Times New Roman"/>
      <w:i/>
      <w:iCs/>
      <w:sz w:val="24"/>
      <w:szCs w:val="24"/>
      <w:lang w:val="et-EE" w:eastAsia="et-EE"/>
    </w:rPr>
  </w:style>
  <w:style w:type="character" w:customStyle="1" w:styleId="Pealkiri9Mrk">
    <w:name w:val="Pealkiri 9 Märk"/>
    <w:basedOn w:val="Liguvaikefont"/>
    <w:link w:val="Pealkiri9"/>
    <w:uiPriority w:val="99"/>
    <w:semiHidden/>
    <w:locked/>
    <w:rsid w:val="00010DDB"/>
    <w:rPr>
      <w:rFonts w:ascii="Arial" w:hAnsi="Arial" w:cs="Arial"/>
      <w:lang w:val="et-EE" w:eastAsia="et-EE"/>
    </w:rPr>
  </w:style>
  <w:style w:type="character" w:styleId="Hperlink">
    <w:name w:val="Hyperlink"/>
    <w:basedOn w:val="Liguvaikefont"/>
    <w:uiPriority w:val="99"/>
    <w:unhideWhenUsed/>
    <w:rsid w:val="00010DDB"/>
    <w:rPr>
      <w:rFonts w:cs="Times New Roman"/>
      <w:color w:val="0000FF" w:themeColor="hyperlink"/>
      <w:u w:val="single"/>
    </w:rPr>
  </w:style>
  <w:style w:type="character" w:styleId="Klastatudhperlink">
    <w:name w:val="FollowedHyperlink"/>
    <w:basedOn w:val="Liguvaikefont"/>
    <w:uiPriority w:val="99"/>
    <w:semiHidden/>
    <w:unhideWhenUsed/>
    <w:rsid w:val="00010DDB"/>
    <w:rPr>
      <w:rFonts w:cs="Times New Roman"/>
      <w:color w:val="800080" w:themeColor="followedHyperlink"/>
      <w:u w:val="single"/>
    </w:rPr>
  </w:style>
  <w:style w:type="paragraph" w:styleId="HTML-aadress">
    <w:name w:val="HTML Address"/>
    <w:basedOn w:val="Normaallaad"/>
    <w:link w:val="HTML-aadressMrk"/>
    <w:uiPriority w:val="99"/>
    <w:semiHidden/>
    <w:unhideWhenUsed/>
    <w:rsid w:val="00010DDB"/>
    <w:rPr>
      <w:i/>
      <w:iCs/>
    </w:rPr>
  </w:style>
  <w:style w:type="character" w:customStyle="1" w:styleId="HTML-aadressMrk">
    <w:name w:val="HTML-aadress Märk"/>
    <w:basedOn w:val="Liguvaikefont"/>
    <w:link w:val="HTML-aadress"/>
    <w:uiPriority w:val="99"/>
    <w:semiHidden/>
    <w:locked/>
    <w:rsid w:val="00010DDB"/>
    <w:rPr>
      <w:rFonts w:ascii="Times New Roman" w:hAnsi="Times New Roman" w:cs="Times New Roman"/>
      <w:i/>
      <w:iCs/>
      <w:lang w:val="et-EE" w:eastAsia="et-EE"/>
    </w:rPr>
  </w:style>
  <w:style w:type="paragraph" w:customStyle="1" w:styleId="Num-DocParagraph">
    <w:name w:val="Num-Doc Paragraph"/>
    <w:basedOn w:val="Kehatekst"/>
    <w:link w:val="Num-DocParagraphChar1"/>
    <w:uiPriority w:val="99"/>
    <w:rsid w:val="00010DDB"/>
    <w:pPr>
      <w:ind w:firstLine="0"/>
    </w:pPr>
  </w:style>
  <w:style w:type="paragraph" w:styleId="HTML-eelvormindatud">
    <w:name w:val="HTML Preformatted"/>
    <w:basedOn w:val="Normaallaad"/>
    <w:link w:val="HTML-eelvormindatudMrk"/>
    <w:uiPriority w:val="99"/>
    <w:semiHidden/>
    <w:unhideWhenUsed/>
    <w:rsid w:val="00010DDB"/>
    <w:pPr>
      <w:tabs>
        <w:tab w:val="clear" w:pos="850"/>
        <w:tab w:val="clear" w:pos="1191"/>
        <w:tab w:val="clear" w:pos="153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eelvormindatudMrk">
    <w:name w:val="HTML-eelvormindatud Märk"/>
    <w:basedOn w:val="Liguvaikefont"/>
    <w:link w:val="HTML-eelvormindatud"/>
    <w:uiPriority w:val="99"/>
    <w:semiHidden/>
    <w:locked/>
    <w:rsid w:val="00010DDB"/>
    <w:rPr>
      <w:rFonts w:ascii="Courier New" w:hAnsi="Courier New" w:cs="Courier New"/>
      <w:sz w:val="20"/>
      <w:szCs w:val="20"/>
      <w:lang w:val="et-EE" w:eastAsia="et-EE"/>
    </w:rPr>
  </w:style>
  <w:style w:type="paragraph" w:styleId="Normaallaadveeb">
    <w:name w:val="Normal (Web)"/>
    <w:basedOn w:val="Normaallaad"/>
    <w:uiPriority w:val="99"/>
    <w:semiHidden/>
    <w:unhideWhenUsed/>
    <w:rsid w:val="00010DDB"/>
    <w:rPr>
      <w:sz w:val="24"/>
      <w:szCs w:val="24"/>
    </w:rPr>
  </w:style>
  <w:style w:type="paragraph" w:styleId="Register1">
    <w:name w:val="index 1"/>
    <w:basedOn w:val="Normaallaad"/>
    <w:next w:val="Normaallaad"/>
    <w:autoRedefine/>
    <w:uiPriority w:val="99"/>
    <w:semiHidden/>
    <w:unhideWhenUsed/>
    <w:rsid w:val="00010DDB"/>
    <w:pPr>
      <w:ind w:left="220" w:hanging="220"/>
    </w:pPr>
  </w:style>
  <w:style w:type="paragraph" w:styleId="Register2">
    <w:name w:val="index 2"/>
    <w:basedOn w:val="Normaallaad"/>
    <w:next w:val="Normaallaad"/>
    <w:autoRedefine/>
    <w:uiPriority w:val="99"/>
    <w:semiHidden/>
    <w:unhideWhenUsed/>
    <w:rsid w:val="00010DDB"/>
    <w:pPr>
      <w:tabs>
        <w:tab w:val="clear" w:pos="850"/>
        <w:tab w:val="clear" w:pos="1191"/>
        <w:tab w:val="clear" w:pos="1531"/>
        <w:tab w:val="left" w:pos="708"/>
      </w:tabs>
      <w:ind w:left="440" w:hanging="220"/>
    </w:pPr>
  </w:style>
  <w:style w:type="paragraph" w:styleId="Register3">
    <w:name w:val="index 3"/>
    <w:basedOn w:val="Normaallaad"/>
    <w:next w:val="Normaallaad"/>
    <w:autoRedefine/>
    <w:uiPriority w:val="99"/>
    <w:semiHidden/>
    <w:unhideWhenUsed/>
    <w:rsid w:val="00010DDB"/>
    <w:pPr>
      <w:tabs>
        <w:tab w:val="clear" w:pos="850"/>
        <w:tab w:val="clear" w:pos="1191"/>
        <w:tab w:val="clear" w:pos="1531"/>
        <w:tab w:val="left" w:pos="708"/>
      </w:tabs>
      <w:ind w:left="660" w:hanging="220"/>
    </w:pPr>
  </w:style>
  <w:style w:type="paragraph" w:styleId="Register4">
    <w:name w:val="index 4"/>
    <w:basedOn w:val="Normaallaad"/>
    <w:next w:val="Normaallaad"/>
    <w:autoRedefine/>
    <w:uiPriority w:val="99"/>
    <w:semiHidden/>
    <w:unhideWhenUsed/>
    <w:rsid w:val="00010DDB"/>
    <w:pPr>
      <w:tabs>
        <w:tab w:val="clear" w:pos="850"/>
        <w:tab w:val="clear" w:pos="1191"/>
        <w:tab w:val="clear" w:pos="1531"/>
        <w:tab w:val="left" w:pos="708"/>
      </w:tabs>
      <w:ind w:left="880" w:hanging="220"/>
    </w:pPr>
  </w:style>
  <w:style w:type="paragraph" w:styleId="Register5">
    <w:name w:val="index 5"/>
    <w:basedOn w:val="Normaallaad"/>
    <w:next w:val="Normaallaad"/>
    <w:autoRedefine/>
    <w:uiPriority w:val="99"/>
    <w:semiHidden/>
    <w:unhideWhenUsed/>
    <w:rsid w:val="00010DDB"/>
    <w:pPr>
      <w:tabs>
        <w:tab w:val="clear" w:pos="850"/>
        <w:tab w:val="clear" w:pos="1191"/>
        <w:tab w:val="clear" w:pos="1531"/>
        <w:tab w:val="left" w:pos="708"/>
      </w:tabs>
      <w:ind w:left="1100" w:hanging="220"/>
    </w:pPr>
  </w:style>
  <w:style w:type="paragraph" w:styleId="Register6">
    <w:name w:val="index 6"/>
    <w:basedOn w:val="Normaallaad"/>
    <w:next w:val="Normaallaad"/>
    <w:autoRedefine/>
    <w:uiPriority w:val="99"/>
    <w:semiHidden/>
    <w:unhideWhenUsed/>
    <w:rsid w:val="00010DDB"/>
    <w:pPr>
      <w:tabs>
        <w:tab w:val="clear" w:pos="850"/>
        <w:tab w:val="clear" w:pos="1191"/>
        <w:tab w:val="clear" w:pos="1531"/>
        <w:tab w:val="left" w:pos="708"/>
      </w:tabs>
      <w:ind w:left="1320" w:hanging="220"/>
    </w:pPr>
  </w:style>
  <w:style w:type="paragraph" w:styleId="Register7">
    <w:name w:val="index 7"/>
    <w:basedOn w:val="Normaallaad"/>
    <w:next w:val="Normaallaad"/>
    <w:autoRedefine/>
    <w:uiPriority w:val="99"/>
    <w:semiHidden/>
    <w:unhideWhenUsed/>
    <w:rsid w:val="00010DDB"/>
    <w:pPr>
      <w:tabs>
        <w:tab w:val="clear" w:pos="850"/>
        <w:tab w:val="clear" w:pos="1191"/>
        <w:tab w:val="clear" w:pos="1531"/>
        <w:tab w:val="left" w:pos="708"/>
      </w:tabs>
      <w:ind w:left="1540" w:hanging="220"/>
    </w:pPr>
  </w:style>
  <w:style w:type="paragraph" w:styleId="Register8">
    <w:name w:val="index 8"/>
    <w:basedOn w:val="Normaallaad"/>
    <w:next w:val="Normaallaad"/>
    <w:autoRedefine/>
    <w:uiPriority w:val="99"/>
    <w:semiHidden/>
    <w:unhideWhenUsed/>
    <w:rsid w:val="00010DDB"/>
    <w:pPr>
      <w:tabs>
        <w:tab w:val="clear" w:pos="850"/>
        <w:tab w:val="clear" w:pos="1191"/>
        <w:tab w:val="clear" w:pos="1531"/>
        <w:tab w:val="left" w:pos="708"/>
      </w:tabs>
      <w:ind w:left="1760" w:hanging="220"/>
    </w:pPr>
  </w:style>
  <w:style w:type="paragraph" w:styleId="Register9">
    <w:name w:val="index 9"/>
    <w:basedOn w:val="Normaallaad"/>
    <w:next w:val="Normaallaad"/>
    <w:autoRedefine/>
    <w:uiPriority w:val="99"/>
    <w:semiHidden/>
    <w:unhideWhenUsed/>
    <w:rsid w:val="00010DDB"/>
    <w:pPr>
      <w:tabs>
        <w:tab w:val="clear" w:pos="850"/>
        <w:tab w:val="clear" w:pos="1191"/>
        <w:tab w:val="clear" w:pos="1531"/>
        <w:tab w:val="left" w:pos="708"/>
      </w:tabs>
      <w:ind w:left="1980" w:hanging="220"/>
    </w:pPr>
  </w:style>
  <w:style w:type="paragraph" w:styleId="SK1">
    <w:name w:val="toc 1"/>
    <w:basedOn w:val="Normaallaad"/>
    <w:next w:val="Normaallaad"/>
    <w:autoRedefine/>
    <w:uiPriority w:val="39"/>
    <w:unhideWhenUsed/>
    <w:qFormat/>
    <w:rsid w:val="00010DDB"/>
    <w:pPr>
      <w:tabs>
        <w:tab w:val="clear" w:pos="850"/>
        <w:tab w:val="clear" w:pos="1191"/>
        <w:tab w:val="clear" w:pos="1531"/>
        <w:tab w:val="right" w:leader="dot" w:pos="9468"/>
      </w:tabs>
      <w:spacing w:before="120" w:after="120"/>
    </w:pPr>
    <w:rPr>
      <w:caps/>
    </w:rPr>
  </w:style>
  <w:style w:type="paragraph" w:styleId="SK2">
    <w:name w:val="toc 2"/>
    <w:basedOn w:val="Normaallaad"/>
    <w:next w:val="Normaallaad"/>
    <w:autoRedefine/>
    <w:uiPriority w:val="39"/>
    <w:semiHidden/>
    <w:unhideWhenUsed/>
    <w:qFormat/>
    <w:rsid w:val="00010DDB"/>
    <w:pPr>
      <w:tabs>
        <w:tab w:val="clear" w:pos="850"/>
        <w:tab w:val="clear" w:pos="1191"/>
        <w:tab w:val="clear" w:pos="1531"/>
        <w:tab w:val="right" w:leader="dot" w:pos="9468"/>
      </w:tabs>
      <w:ind w:left="198"/>
    </w:pPr>
  </w:style>
  <w:style w:type="paragraph" w:styleId="SK3">
    <w:name w:val="toc 3"/>
    <w:basedOn w:val="Normaallaad"/>
    <w:next w:val="Normaallaad"/>
    <w:autoRedefine/>
    <w:uiPriority w:val="39"/>
    <w:unhideWhenUsed/>
    <w:qFormat/>
    <w:rsid w:val="00010DDB"/>
    <w:pPr>
      <w:tabs>
        <w:tab w:val="clear" w:pos="850"/>
        <w:tab w:val="clear" w:pos="1191"/>
        <w:tab w:val="clear" w:pos="1531"/>
        <w:tab w:val="right" w:leader="dot" w:pos="9468"/>
      </w:tabs>
      <w:ind w:left="397"/>
    </w:pPr>
  </w:style>
  <w:style w:type="paragraph" w:styleId="SK4">
    <w:name w:val="toc 4"/>
    <w:basedOn w:val="Normaallaad"/>
    <w:next w:val="Normaallaad"/>
    <w:autoRedefine/>
    <w:uiPriority w:val="99"/>
    <w:semiHidden/>
    <w:unhideWhenUsed/>
    <w:qFormat/>
    <w:rsid w:val="00010DDB"/>
    <w:pPr>
      <w:tabs>
        <w:tab w:val="clear" w:pos="850"/>
        <w:tab w:val="clear" w:pos="1191"/>
        <w:tab w:val="clear" w:pos="1531"/>
        <w:tab w:val="right" w:leader="dot" w:pos="9468"/>
      </w:tabs>
      <w:ind w:left="595"/>
    </w:pPr>
    <w:rPr>
      <w:noProof/>
    </w:rPr>
  </w:style>
  <w:style w:type="paragraph" w:styleId="SK5">
    <w:name w:val="toc 5"/>
    <w:basedOn w:val="Normaallaad"/>
    <w:next w:val="Normaallaad"/>
    <w:autoRedefine/>
    <w:uiPriority w:val="99"/>
    <w:semiHidden/>
    <w:unhideWhenUsed/>
    <w:qFormat/>
    <w:rsid w:val="00010DDB"/>
    <w:pPr>
      <w:tabs>
        <w:tab w:val="clear" w:pos="850"/>
        <w:tab w:val="clear" w:pos="1191"/>
        <w:tab w:val="clear" w:pos="1531"/>
        <w:tab w:val="right" w:leader="dot" w:pos="9468"/>
      </w:tabs>
      <w:ind w:left="794"/>
    </w:pPr>
    <w:rPr>
      <w:noProof/>
    </w:rPr>
  </w:style>
  <w:style w:type="paragraph" w:styleId="SK6">
    <w:name w:val="toc 6"/>
    <w:basedOn w:val="Normaallaad"/>
    <w:next w:val="Normaallaad"/>
    <w:autoRedefine/>
    <w:uiPriority w:val="99"/>
    <w:semiHidden/>
    <w:unhideWhenUsed/>
    <w:qFormat/>
    <w:rsid w:val="00010DDB"/>
    <w:pPr>
      <w:tabs>
        <w:tab w:val="clear" w:pos="850"/>
        <w:tab w:val="clear" w:pos="1191"/>
        <w:tab w:val="clear" w:pos="1531"/>
        <w:tab w:val="left" w:pos="708"/>
      </w:tabs>
      <w:ind w:left="1100"/>
    </w:pPr>
  </w:style>
  <w:style w:type="paragraph" w:styleId="SK7">
    <w:name w:val="toc 7"/>
    <w:basedOn w:val="Normaallaad"/>
    <w:next w:val="Normaallaad"/>
    <w:autoRedefine/>
    <w:uiPriority w:val="99"/>
    <w:semiHidden/>
    <w:unhideWhenUsed/>
    <w:qFormat/>
    <w:rsid w:val="00010DDB"/>
    <w:pPr>
      <w:tabs>
        <w:tab w:val="clear" w:pos="850"/>
        <w:tab w:val="clear" w:pos="1191"/>
        <w:tab w:val="clear" w:pos="1531"/>
        <w:tab w:val="left" w:pos="708"/>
      </w:tabs>
      <w:ind w:left="1320"/>
    </w:pPr>
  </w:style>
  <w:style w:type="paragraph" w:styleId="SK8">
    <w:name w:val="toc 8"/>
    <w:basedOn w:val="Normaallaad"/>
    <w:next w:val="Normaallaad"/>
    <w:autoRedefine/>
    <w:uiPriority w:val="99"/>
    <w:semiHidden/>
    <w:unhideWhenUsed/>
    <w:qFormat/>
    <w:rsid w:val="00010DDB"/>
    <w:pPr>
      <w:tabs>
        <w:tab w:val="clear" w:pos="850"/>
        <w:tab w:val="clear" w:pos="1191"/>
        <w:tab w:val="clear" w:pos="1531"/>
        <w:tab w:val="left" w:pos="708"/>
      </w:tabs>
      <w:ind w:left="1540"/>
    </w:pPr>
  </w:style>
  <w:style w:type="paragraph" w:styleId="SK9">
    <w:name w:val="toc 9"/>
    <w:basedOn w:val="Normaallaad"/>
    <w:next w:val="Normaallaad"/>
    <w:autoRedefine/>
    <w:uiPriority w:val="99"/>
    <w:semiHidden/>
    <w:unhideWhenUsed/>
    <w:qFormat/>
    <w:rsid w:val="00010DDB"/>
    <w:pPr>
      <w:tabs>
        <w:tab w:val="clear" w:pos="850"/>
        <w:tab w:val="clear" w:pos="1191"/>
        <w:tab w:val="clear" w:pos="1531"/>
        <w:tab w:val="left" w:pos="708"/>
      </w:tabs>
      <w:ind w:left="1760"/>
    </w:pPr>
  </w:style>
  <w:style w:type="paragraph" w:styleId="Normaaltaane">
    <w:name w:val="Normal Indent"/>
    <w:basedOn w:val="Normaallaad"/>
    <w:uiPriority w:val="99"/>
    <w:semiHidden/>
    <w:unhideWhenUsed/>
    <w:rsid w:val="00010DDB"/>
    <w:pPr>
      <w:ind w:left="708"/>
    </w:pPr>
  </w:style>
  <w:style w:type="paragraph" w:styleId="Allmrkusetekst">
    <w:name w:val="footnote text"/>
    <w:basedOn w:val="Normaallaad"/>
    <w:link w:val="AllmrkusetekstMrk"/>
    <w:uiPriority w:val="99"/>
    <w:semiHidden/>
    <w:unhideWhenUsed/>
    <w:rsid w:val="00010DDB"/>
    <w:pPr>
      <w:spacing w:after="120"/>
      <w:ind w:left="850" w:hanging="850"/>
    </w:pPr>
    <w:rPr>
      <w:sz w:val="20"/>
      <w:szCs w:val="20"/>
    </w:rPr>
  </w:style>
  <w:style w:type="character" w:customStyle="1" w:styleId="AllmrkusetekstMrk">
    <w:name w:val="Allmärkuse tekst Märk"/>
    <w:basedOn w:val="Liguvaikefont"/>
    <w:link w:val="Allmrkusetekst"/>
    <w:uiPriority w:val="99"/>
    <w:semiHidden/>
    <w:locked/>
    <w:rsid w:val="00010DDB"/>
    <w:rPr>
      <w:rFonts w:ascii="Times New Roman" w:hAnsi="Times New Roman" w:cs="Times New Roman"/>
      <w:sz w:val="20"/>
      <w:szCs w:val="20"/>
      <w:lang w:val="et-EE" w:eastAsia="et-EE"/>
    </w:rPr>
  </w:style>
  <w:style w:type="paragraph" w:styleId="Kommentaaritekst">
    <w:name w:val="annotation text"/>
    <w:basedOn w:val="Normaallaad"/>
    <w:link w:val="KommentaaritekstMrk"/>
    <w:uiPriority w:val="99"/>
    <w:semiHidden/>
    <w:unhideWhenUsed/>
    <w:rsid w:val="00010DDB"/>
    <w:rPr>
      <w:sz w:val="20"/>
      <w:szCs w:val="20"/>
    </w:rPr>
  </w:style>
  <w:style w:type="character" w:customStyle="1" w:styleId="KommentaaritekstMrk">
    <w:name w:val="Kommentaari tekst Märk"/>
    <w:basedOn w:val="Liguvaikefont"/>
    <w:link w:val="Kommentaaritekst"/>
    <w:uiPriority w:val="99"/>
    <w:semiHidden/>
    <w:locked/>
    <w:rsid w:val="00010DDB"/>
    <w:rPr>
      <w:rFonts w:ascii="Times New Roman" w:hAnsi="Times New Roman" w:cs="Times New Roman"/>
      <w:sz w:val="20"/>
      <w:szCs w:val="20"/>
      <w:lang w:val="et-EE" w:eastAsia="et-EE"/>
    </w:rPr>
  </w:style>
  <w:style w:type="paragraph" w:styleId="Pis">
    <w:name w:val="header"/>
    <w:basedOn w:val="Normaallaad"/>
    <w:link w:val="PisMrk"/>
    <w:uiPriority w:val="99"/>
    <w:semiHidden/>
    <w:unhideWhenUsed/>
    <w:rsid w:val="00010DDB"/>
    <w:pPr>
      <w:tabs>
        <w:tab w:val="clear" w:pos="850"/>
        <w:tab w:val="clear" w:pos="1191"/>
        <w:tab w:val="clear" w:pos="1531"/>
        <w:tab w:val="center" w:pos="4536"/>
        <w:tab w:val="right" w:pos="9072"/>
      </w:tabs>
    </w:pPr>
  </w:style>
  <w:style w:type="character" w:customStyle="1" w:styleId="PisMrk">
    <w:name w:val="Päis Märk"/>
    <w:basedOn w:val="Liguvaikefont"/>
    <w:link w:val="Pis"/>
    <w:uiPriority w:val="99"/>
    <w:semiHidden/>
    <w:locked/>
    <w:rsid w:val="00010DDB"/>
    <w:rPr>
      <w:rFonts w:ascii="Times New Roman" w:hAnsi="Times New Roman" w:cs="Times New Roman"/>
      <w:lang w:val="et-EE" w:eastAsia="et-EE"/>
    </w:rPr>
  </w:style>
  <w:style w:type="paragraph" w:styleId="Jalus">
    <w:name w:val="footer"/>
    <w:basedOn w:val="Normaallaad"/>
    <w:link w:val="JalusMrk"/>
    <w:uiPriority w:val="99"/>
    <w:unhideWhenUsed/>
    <w:rsid w:val="00010DDB"/>
    <w:pPr>
      <w:tabs>
        <w:tab w:val="clear" w:pos="850"/>
        <w:tab w:val="clear" w:pos="1191"/>
        <w:tab w:val="clear" w:pos="1531"/>
        <w:tab w:val="center" w:pos="4536"/>
        <w:tab w:val="right" w:pos="9072"/>
      </w:tabs>
    </w:pPr>
  </w:style>
  <w:style w:type="character" w:customStyle="1" w:styleId="JalusMrk">
    <w:name w:val="Jalus Märk"/>
    <w:basedOn w:val="Liguvaikefont"/>
    <w:link w:val="Jalus"/>
    <w:uiPriority w:val="99"/>
    <w:locked/>
    <w:rsid w:val="00010DDB"/>
    <w:rPr>
      <w:rFonts w:ascii="Times New Roman" w:hAnsi="Times New Roman" w:cs="Times New Roman"/>
      <w:lang w:val="et-EE" w:eastAsia="et-EE"/>
    </w:rPr>
  </w:style>
  <w:style w:type="paragraph" w:styleId="Kehatekst">
    <w:name w:val="Body Text"/>
    <w:aliases w:val="bt"/>
    <w:basedOn w:val="Normaallaad"/>
    <w:link w:val="KehatekstMrk"/>
    <w:uiPriority w:val="99"/>
    <w:unhideWhenUsed/>
    <w:rsid w:val="00010DDB"/>
    <w:pPr>
      <w:spacing w:after="240"/>
      <w:ind w:firstLine="442"/>
    </w:pPr>
  </w:style>
  <w:style w:type="character" w:customStyle="1" w:styleId="KehatekstMrk">
    <w:name w:val="Kehatekst Märk"/>
    <w:aliases w:val="bt Märk"/>
    <w:basedOn w:val="Liguvaikefont"/>
    <w:link w:val="Kehatekst"/>
    <w:uiPriority w:val="99"/>
    <w:locked/>
    <w:rsid w:val="00010DDB"/>
    <w:rPr>
      <w:rFonts w:ascii="Times New Roman" w:hAnsi="Times New Roman" w:cs="Times New Roman"/>
      <w:lang w:val="et-EE" w:eastAsia="et-EE"/>
    </w:rPr>
  </w:style>
  <w:style w:type="paragraph" w:styleId="Registripealkiri">
    <w:name w:val="index heading"/>
    <w:basedOn w:val="Normaallaad"/>
    <w:next w:val="Kehatekst"/>
    <w:uiPriority w:val="99"/>
    <w:semiHidden/>
    <w:unhideWhenUsed/>
    <w:rsid w:val="00010DDB"/>
    <w:pPr>
      <w:keepNext/>
      <w:spacing w:before="1200" w:after="720"/>
      <w:jc w:val="center"/>
    </w:pPr>
    <w:rPr>
      <w:b/>
      <w:bCs/>
      <w:caps/>
    </w:rPr>
  </w:style>
  <w:style w:type="paragraph" w:styleId="Pealdis">
    <w:name w:val="caption"/>
    <w:basedOn w:val="Normaallaad"/>
    <w:next w:val="Normaallaad"/>
    <w:uiPriority w:val="99"/>
    <w:semiHidden/>
    <w:unhideWhenUsed/>
    <w:qFormat/>
    <w:rsid w:val="00010DDB"/>
    <w:pPr>
      <w:spacing w:before="120" w:after="120"/>
    </w:pPr>
    <w:rPr>
      <w:b/>
      <w:bCs/>
      <w:sz w:val="20"/>
      <w:szCs w:val="20"/>
    </w:rPr>
  </w:style>
  <w:style w:type="paragraph" w:styleId="Illustratsiooniloend">
    <w:name w:val="table of figures"/>
    <w:basedOn w:val="Normaallaad"/>
    <w:next w:val="Normaallaad"/>
    <w:uiPriority w:val="99"/>
    <w:semiHidden/>
    <w:unhideWhenUsed/>
    <w:rsid w:val="00010DDB"/>
    <w:pPr>
      <w:tabs>
        <w:tab w:val="clear" w:pos="850"/>
        <w:tab w:val="clear" w:pos="1191"/>
        <w:tab w:val="clear" w:pos="1531"/>
        <w:tab w:val="left" w:pos="708"/>
      </w:tabs>
      <w:ind w:left="440" w:hanging="440"/>
    </w:pPr>
  </w:style>
  <w:style w:type="paragraph" w:styleId="mbrikuaadress">
    <w:name w:val="envelope address"/>
    <w:basedOn w:val="Normaallaad"/>
    <w:uiPriority w:val="99"/>
    <w:semiHidden/>
    <w:unhideWhenUsed/>
    <w:rsid w:val="00010DDB"/>
    <w:pPr>
      <w:framePr w:w="7938" w:h="1985" w:hSpace="141" w:wrap="auto" w:hAnchor="page" w:xAlign="center" w:yAlign="bottom"/>
      <w:ind w:left="2835"/>
    </w:pPr>
    <w:rPr>
      <w:rFonts w:ascii="Arial" w:hAnsi="Arial" w:cs="Arial"/>
      <w:sz w:val="24"/>
      <w:szCs w:val="24"/>
    </w:rPr>
  </w:style>
  <w:style w:type="paragraph" w:styleId="Saatjaaadressmbrikul">
    <w:name w:val="envelope return"/>
    <w:basedOn w:val="Normaallaad"/>
    <w:uiPriority w:val="99"/>
    <w:semiHidden/>
    <w:unhideWhenUsed/>
    <w:rsid w:val="00010DDB"/>
    <w:rPr>
      <w:rFonts w:ascii="Arial" w:hAnsi="Arial" w:cs="Arial"/>
      <w:sz w:val="20"/>
      <w:szCs w:val="20"/>
    </w:rPr>
  </w:style>
  <w:style w:type="paragraph" w:styleId="Lpumrkusetekst">
    <w:name w:val="endnote text"/>
    <w:basedOn w:val="Normaallaad"/>
    <w:link w:val="LpumrkusetekstMrk"/>
    <w:uiPriority w:val="99"/>
    <w:semiHidden/>
    <w:unhideWhenUsed/>
    <w:rsid w:val="00010DDB"/>
    <w:pPr>
      <w:spacing w:after="240"/>
      <w:ind w:left="850" w:hanging="850"/>
    </w:pPr>
    <w:rPr>
      <w:sz w:val="20"/>
      <w:szCs w:val="20"/>
    </w:rPr>
  </w:style>
  <w:style w:type="character" w:customStyle="1" w:styleId="LpumrkusetekstMrk">
    <w:name w:val="Lõpumärkuse tekst Märk"/>
    <w:basedOn w:val="Liguvaikefont"/>
    <w:link w:val="Lpumrkusetekst"/>
    <w:uiPriority w:val="99"/>
    <w:semiHidden/>
    <w:locked/>
    <w:rsid w:val="00010DDB"/>
    <w:rPr>
      <w:rFonts w:ascii="Times New Roman" w:hAnsi="Times New Roman" w:cs="Times New Roman"/>
      <w:sz w:val="20"/>
      <w:szCs w:val="20"/>
      <w:lang w:val="et-EE" w:eastAsia="et-EE"/>
    </w:rPr>
  </w:style>
  <w:style w:type="paragraph" w:styleId="igusallikateloend">
    <w:name w:val="table of authorities"/>
    <w:basedOn w:val="Normaallaad"/>
    <w:next w:val="Normaallaad"/>
    <w:uiPriority w:val="99"/>
    <w:semiHidden/>
    <w:unhideWhenUsed/>
    <w:rsid w:val="00010DDB"/>
    <w:pPr>
      <w:tabs>
        <w:tab w:val="clear" w:pos="850"/>
        <w:tab w:val="clear" w:pos="1191"/>
        <w:tab w:val="clear" w:pos="1531"/>
        <w:tab w:val="left" w:pos="708"/>
      </w:tabs>
      <w:ind w:left="220" w:hanging="220"/>
    </w:pPr>
  </w:style>
  <w:style w:type="paragraph" w:styleId="Makrotekst">
    <w:name w:val="macro"/>
    <w:link w:val="MakrotekstMrk"/>
    <w:uiPriority w:val="99"/>
    <w:semiHidden/>
    <w:unhideWhenUsed/>
    <w:rsid w:val="00010DDB"/>
    <w:pPr>
      <w:tabs>
        <w:tab w:val="left" w:pos="480"/>
        <w:tab w:val="left" w:pos="960"/>
        <w:tab w:val="left" w:pos="1440"/>
        <w:tab w:val="left" w:pos="1920"/>
        <w:tab w:val="left" w:pos="2400"/>
        <w:tab w:val="left" w:pos="2880"/>
        <w:tab w:val="left" w:pos="3360"/>
        <w:tab w:val="left" w:pos="3840"/>
        <w:tab w:val="left" w:pos="4320"/>
      </w:tabs>
      <w:spacing w:after="0" w:line="240" w:lineRule="auto"/>
      <w:jc w:val="both"/>
    </w:pPr>
    <w:rPr>
      <w:rFonts w:ascii="Courier New" w:hAnsi="Courier New" w:cs="Courier New"/>
      <w:sz w:val="20"/>
      <w:szCs w:val="20"/>
    </w:rPr>
  </w:style>
  <w:style w:type="character" w:customStyle="1" w:styleId="MakrotekstMrk">
    <w:name w:val="Makrotekst Märk"/>
    <w:basedOn w:val="Liguvaikefont"/>
    <w:link w:val="Makrotekst"/>
    <w:uiPriority w:val="99"/>
    <w:semiHidden/>
    <w:locked/>
    <w:rsid w:val="00010DDB"/>
    <w:rPr>
      <w:rFonts w:ascii="Courier New" w:hAnsi="Courier New" w:cs="Courier New"/>
      <w:sz w:val="20"/>
      <w:szCs w:val="20"/>
      <w:lang w:val="et-EE" w:eastAsia="et-EE"/>
    </w:rPr>
  </w:style>
  <w:style w:type="paragraph" w:styleId="Teatmeallikateloendipealkiri">
    <w:name w:val="toa heading"/>
    <w:basedOn w:val="Normaallaad"/>
    <w:next w:val="Normaallaad"/>
    <w:uiPriority w:val="99"/>
    <w:semiHidden/>
    <w:unhideWhenUsed/>
    <w:rsid w:val="00010DDB"/>
    <w:pPr>
      <w:spacing w:before="120"/>
    </w:pPr>
    <w:rPr>
      <w:rFonts w:ascii="Arial" w:hAnsi="Arial" w:cs="Arial"/>
      <w:b/>
      <w:bCs/>
      <w:sz w:val="24"/>
      <w:szCs w:val="24"/>
    </w:rPr>
  </w:style>
  <w:style w:type="paragraph" w:styleId="Loend">
    <w:name w:val="List"/>
    <w:basedOn w:val="Normaallaad"/>
    <w:uiPriority w:val="99"/>
    <w:semiHidden/>
    <w:unhideWhenUsed/>
    <w:rsid w:val="00010DDB"/>
    <w:pPr>
      <w:spacing w:after="240"/>
      <w:ind w:left="850" w:hanging="283"/>
    </w:pPr>
  </w:style>
  <w:style w:type="paragraph" w:styleId="Loenditpp">
    <w:name w:val="List Bullet"/>
    <w:basedOn w:val="Normaallaad"/>
    <w:uiPriority w:val="99"/>
    <w:semiHidden/>
    <w:unhideWhenUsed/>
    <w:rsid w:val="00010DDB"/>
    <w:pPr>
      <w:numPr>
        <w:numId w:val="1"/>
      </w:numPr>
      <w:tabs>
        <w:tab w:val="clear" w:pos="1191"/>
        <w:tab w:val="clear" w:pos="1531"/>
      </w:tabs>
      <w:spacing w:after="240"/>
    </w:pPr>
  </w:style>
  <w:style w:type="paragraph" w:styleId="Loendinumber">
    <w:name w:val="List Number"/>
    <w:basedOn w:val="Normaallaad"/>
    <w:uiPriority w:val="99"/>
    <w:unhideWhenUsed/>
    <w:rsid w:val="00010DDB"/>
    <w:pPr>
      <w:tabs>
        <w:tab w:val="clear" w:pos="850"/>
        <w:tab w:val="clear" w:pos="1191"/>
        <w:tab w:val="clear" w:pos="1531"/>
        <w:tab w:val="left" w:pos="1134"/>
      </w:tabs>
      <w:spacing w:after="240"/>
    </w:pPr>
  </w:style>
  <w:style w:type="paragraph" w:styleId="Loend2">
    <w:name w:val="List 2"/>
    <w:basedOn w:val="Normaallaad"/>
    <w:uiPriority w:val="99"/>
    <w:semiHidden/>
    <w:unhideWhenUsed/>
    <w:rsid w:val="00010DDB"/>
    <w:pPr>
      <w:spacing w:after="240"/>
      <w:ind w:left="1134" w:hanging="283"/>
    </w:pPr>
  </w:style>
  <w:style w:type="paragraph" w:styleId="Loend3">
    <w:name w:val="List 3"/>
    <w:basedOn w:val="Normaallaad"/>
    <w:uiPriority w:val="99"/>
    <w:semiHidden/>
    <w:unhideWhenUsed/>
    <w:rsid w:val="00010DDB"/>
    <w:pPr>
      <w:spacing w:after="240"/>
      <w:ind w:left="1417" w:hanging="283"/>
    </w:pPr>
  </w:style>
  <w:style w:type="paragraph" w:styleId="Loend4">
    <w:name w:val="List 4"/>
    <w:basedOn w:val="Normaallaad"/>
    <w:uiPriority w:val="99"/>
    <w:semiHidden/>
    <w:unhideWhenUsed/>
    <w:rsid w:val="00010DDB"/>
    <w:pPr>
      <w:spacing w:after="240"/>
      <w:ind w:left="1701" w:hanging="283"/>
    </w:pPr>
  </w:style>
  <w:style w:type="paragraph" w:styleId="Loend5">
    <w:name w:val="List 5"/>
    <w:basedOn w:val="Normaallaad"/>
    <w:uiPriority w:val="99"/>
    <w:semiHidden/>
    <w:unhideWhenUsed/>
    <w:rsid w:val="00010DDB"/>
    <w:pPr>
      <w:spacing w:after="240"/>
      <w:ind w:left="1984" w:hanging="283"/>
    </w:pPr>
  </w:style>
  <w:style w:type="paragraph" w:styleId="Loenditpp2">
    <w:name w:val="List Bullet 2"/>
    <w:basedOn w:val="Normaallaad"/>
    <w:uiPriority w:val="99"/>
    <w:semiHidden/>
    <w:unhideWhenUsed/>
    <w:rsid w:val="00010DDB"/>
    <w:pPr>
      <w:numPr>
        <w:numId w:val="2"/>
      </w:numPr>
      <w:tabs>
        <w:tab w:val="clear" w:pos="850"/>
        <w:tab w:val="clear" w:pos="1531"/>
      </w:tabs>
      <w:spacing w:after="240"/>
    </w:pPr>
  </w:style>
  <w:style w:type="paragraph" w:styleId="Loenditpp3">
    <w:name w:val="List Bullet 3"/>
    <w:basedOn w:val="Normaallaad"/>
    <w:uiPriority w:val="99"/>
    <w:semiHidden/>
    <w:unhideWhenUsed/>
    <w:rsid w:val="00010DDB"/>
    <w:pPr>
      <w:numPr>
        <w:numId w:val="3"/>
      </w:numPr>
      <w:tabs>
        <w:tab w:val="clear" w:pos="850"/>
        <w:tab w:val="clear" w:pos="1191"/>
        <w:tab w:val="clear" w:pos="1531"/>
      </w:tabs>
      <w:spacing w:after="240"/>
    </w:pPr>
  </w:style>
  <w:style w:type="paragraph" w:styleId="Loenditpp4">
    <w:name w:val="List Bullet 4"/>
    <w:basedOn w:val="Normaallaad"/>
    <w:uiPriority w:val="99"/>
    <w:semiHidden/>
    <w:unhideWhenUsed/>
    <w:rsid w:val="00010DDB"/>
    <w:pPr>
      <w:numPr>
        <w:numId w:val="4"/>
      </w:numPr>
      <w:tabs>
        <w:tab w:val="clear" w:pos="850"/>
        <w:tab w:val="clear" w:pos="1191"/>
        <w:tab w:val="clear" w:pos="1531"/>
      </w:tabs>
      <w:spacing w:after="240"/>
    </w:pPr>
  </w:style>
  <w:style w:type="paragraph" w:styleId="Loenditpp5">
    <w:name w:val="List Bullet 5"/>
    <w:basedOn w:val="Normaallaad"/>
    <w:uiPriority w:val="99"/>
    <w:semiHidden/>
    <w:unhideWhenUsed/>
    <w:rsid w:val="00010DDB"/>
    <w:pPr>
      <w:numPr>
        <w:numId w:val="5"/>
      </w:numPr>
      <w:tabs>
        <w:tab w:val="clear" w:pos="850"/>
        <w:tab w:val="clear" w:pos="1191"/>
        <w:tab w:val="clear" w:pos="1531"/>
      </w:tabs>
      <w:spacing w:after="240"/>
    </w:pPr>
  </w:style>
  <w:style w:type="paragraph" w:styleId="Loendinumber2">
    <w:name w:val="List Number 2"/>
    <w:basedOn w:val="Normaallaad"/>
    <w:uiPriority w:val="99"/>
    <w:semiHidden/>
    <w:unhideWhenUsed/>
    <w:rsid w:val="00010DDB"/>
    <w:pPr>
      <w:tabs>
        <w:tab w:val="clear" w:pos="850"/>
        <w:tab w:val="clear" w:pos="1191"/>
        <w:tab w:val="clear" w:pos="1531"/>
        <w:tab w:val="left" w:pos="1417"/>
      </w:tabs>
      <w:spacing w:after="240"/>
    </w:pPr>
  </w:style>
  <w:style w:type="paragraph" w:styleId="Loendinumber3">
    <w:name w:val="List Number 3"/>
    <w:basedOn w:val="Normaallaad"/>
    <w:uiPriority w:val="99"/>
    <w:semiHidden/>
    <w:unhideWhenUsed/>
    <w:rsid w:val="00010DDB"/>
    <w:pPr>
      <w:tabs>
        <w:tab w:val="clear" w:pos="850"/>
        <w:tab w:val="clear" w:pos="1191"/>
        <w:tab w:val="clear" w:pos="1531"/>
        <w:tab w:val="left" w:pos="1701"/>
      </w:tabs>
      <w:spacing w:after="240"/>
    </w:pPr>
  </w:style>
  <w:style w:type="paragraph" w:styleId="Loendinumber4">
    <w:name w:val="List Number 4"/>
    <w:basedOn w:val="Normaallaad"/>
    <w:uiPriority w:val="99"/>
    <w:semiHidden/>
    <w:unhideWhenUsed/>
    <w:rsid w:val="00010DDB"/>
    <w:pPr>
      <w:tabs>
        <w:tab w:val="clear" w:pos="850"/>
        <w:tab w:val="clear" w:pos="1191"/>
        <w:tab w:val="clear" w:pos="1531"/>
        <w:tab w:val="left" w:pos="1984"/>
      </w:tabs>
      <w:spacing w:after="240"/>
    </w:pPr>
  </w:style>
  <w:style w:type="paragraph" w:styleId="Loendinumber5">
    <w:name w:val="List Number 5"/>
    <w:basedOn w:val="Normaallaad"/>
    <w:uiPriority w:val="99"/>
    <w:semiHidden/>
    <w:unhideWhenUsed/>
    <w:rsid w:val="00010DDB"/>
    <w:pPr>
      <w:tabs>
        <w:tab w:val="clear" w:pos="850"/>
        <w:tab w:val="clear" w:pos="1191"/>
        <w:tab w:val="clear" w:pos="1531"/>
        <w:tab w:val="left" w:pos="2268"/>
      </w:tabs>
      <w:spacing w:after="240"/>
    </w:pPr>
  </w:style>
  <w:style w:type="paragraph" w:styleId="Pealkiri">
    <w:name w:val="Title"/>
    <w:basedOn w:val="Normaallaad"/>
    <w:link w:val="PealkiriMrk"/>
    <w:uiPriority w:val="99"/>
    <w:qFormat/>
    <w:rsid w:val="00010DDB"/>
    <w:pPr>
      <w:spacing w:before="240" w:after="60"/>
      <w:jc w:val="center"/>
      <w:outlineLvl w:val="0"/>
    </w:pPr>
    <w:rPr>
      <w:rFonts w:ascii="Arial" w:hAnsi="Arial" w:cs="Arial"/>
      <w:b/>
      <w:bCs/>
      <w:kern w:val="28"/>
      <w:sz w:val="32"/>
      <w:szCs w:val="32"/>
    </w:rPr>
  </w:style>
  <w:style w:type="character" w:customStyle="1" w:styleId="PealkiriMrk">
    <w:name w:val="Pealkiri Märk"/>
    <w:basedOn w:val="Liguvaikefont"/>
    <w:link w:val="Pealkiri"/>
    <w:uiPriority w:val="99"/>
    <w:locked/>
    <w:rsid w:val="00010DDB"/>
    <w:rPr>
      <w:rFonts w:ascii="Arial" w:hAnsi="Arial" w:cs="Arial"/>
      <w:b/>
      <w:bCs/>
      <w:kern w:val="28"/>
      <w:sz w:val="32"/>
      <w:szCs w:val="32"/>
      <w:lang w:val="et-EE" w:eastAsia="et-EE"/>
    </w:rPr>
  </w:style>
  <w:style w:type="paragraph" w:styleId="Lpetus">
    <w:name w:val="Closing"/>
    <w:basedOn w:val="Normaallaad"/>
    <w:link w:val="LpetusMrk"/>
    <w:uiPriority w:val="99"/>
    <w:semiHidden/>
    <w:unhideWhenUsed/>
    <w:rsid w:val="00010DDB"/>
    <w:pPr>
      <w:ind w:left="4252"/>
    </w:pPr>
  </w:style>
  <w:style w:type="character" w:customStyle="1" w:styleId="LpetusMrk">
    <w:name w:val="Lõpetus Märk"/>
    <w:basedOn w:val="Liguvaikefont"/>
    <w:link w:val="Lpetus"/>
    <w:uiPriority w:val="99"/>
    <w:semiHidden/>
    <w:locked/>
    <w:rsid w:val="00010DDB"/>
    <w:rPr>
      <w:rFonts w:ascii="Times New Roman" w:hAnsi="Times New Roman" w:cs="Times New Roman"/>
      <w:lang w:val="et-EE" w:eastAsia="et-EE"/>
    </w:rPr>
  </w:style>
  <w:style w:type="paragraph" w:styleId="Allkiri">
    <w:name w:val="Signature"/>
    <w:basedOn w:val="Normaallaad"/>
    <w:link w:val="AllkiriMrk"/>
    <w:uiPriority w:val="99"/>
    <w:semiHidden/>
    <w:unhideWhenUsed/>
    <w:rsid w:val="00010DDB"/>
    <w:pPr>
      <w:ind w:left="4252"/>
    </w:pPr>
  </w:style>
  <w:style w:type="character" w:customStyle="1" w:styleId="AllkiriMrk">
    <w:name w:val="Allkiri Märk"/>
    <w:basedOn w:val="Liguvaikefont"/>
    <w:link w:val="Allkiri"/>
    <w:uiPriority w:val="99"/>
    <w:semiHidden/>
    <w:locked/>
    <w:rsid w:val="00010DDB"/>
    <w:rPr>
      <w:rFonts w:ascii="Times New Roman" w:hAnsi="Times New Roman" w:cs="Times New Roman"/>
      <w:lang w:val="et-EE" w:eastAsia="et-EE"/>
    </w:rPr>
  </w:style>
  <w:style w:type="paragraph" w:styleId="Taandegakehatekst">
    <w:name w:val="Body Text Indent"/>
    <w:basedOn w:val="Normaallaad"/>
    <w:link w:val="TaandegakehatekstMrk"/>
    <w:uiPriority w:val="99"/>
    <w:semiHidden/>
    <w:unhideWhenUsed/>
    <w:rsid w:val="00010DDB"/>
    <w:pPr>
      <w:spacing w:after="240"/>
      <w:ind w:left="442"/>
    </w:pPr>
  </w:style>
  <w:style w:type="character" w:customStyle="1" w:styleId="TaandegakehatekstMrk">
    <w:name w:val="Taandega kehatekst Märk"/>
    <w:basedOn w:val="Liguvaikefont"/>
    <w:link w:val="Taandegakehatekst"/>
    <w:uiPriority w:val="99"/>
    <w:semiHidden/>
    <w:locked/>
    <w:rsid w:val="00010DDB"/>
    <w:rPr>
      <w:rFonts w:ascii="Times New Roman" w:hAnsi="Times New Roman" w:cs="Times New Roman"/>
      <w:lang w:val="et-EE" w:eastAsia="et-EE"/>
    </w:rPr>
  </w:style>
  <w:style w:type="paragraph" w:styleId="Loendijtk">
    <w:name w:val="List Continue"/>
    <w:basedOn w:val="Normaallaad"/>
    <w:uiPriority w:val="99"/>
    <w:semiHidden/>
    <w:unhideWhenUsed/>
    <w:rsid w:val="00010DDB"/>
    <w:pPr>
      <w:tabs>
        <w:tab w:val="clear" w:pos="850"/>
        <w:tab w:val="clear" w:pos="1191"/>
        <w:tab w:val="clear" w:pos="1531"/>
        <w:tab w:val="left" w:pos="708"/>
      </w:tabs>
      <w:spacing w:after="240"/>
      <w:ind w:left="850"/>
    </w:pPr>
  </w:style>
  <w:style w:type="paragraph" w:styleId="Loendijtk2">
    <w:name w:val="List Continue 2"/>
    <w:basedOn w:val="Normaallaad"/>
    <w:uiPriority w:val="99"/>
    <w:semiHidden/>
    <w:unhideWhenUsed/>
    <w:rsid w:val="00010DDB"/>
    <w:pPr>
      <w:tabs>
        <w:tab w:val="clear" w:pos="850"/>
        <w:tab w:val="clear" w:pos="1191"/>
        <w:tab w:val="clear" w:pos="1531"/>
        <w:tab w:val="left" w:pos="708"/>
      </w:tabs>
      <w:spacing w:after="240"/>
      <w:ind w:left="1191"/>
    </w:pPr>
  </w:style>
  <w:style w:type="paragraph" w:styleId="Loendijtk3">
    <w:name w:val="List Continue 3"/>
    <w:basedOn w:val="Normaallaad"/>
    <w:uiPriority w:val="99"/>
    <w:semiHidden/>
    <w:unhideWhenUsed/>
    <w:rsid w:val="00010DDB"/>
    <w:pPr>
      <w:tabs>
        <w:tab w:val="clear" w:pos="850"/>
        <w:tab w:val="clear" w:pos="1191"/>
        <w:tab w:val="clear" w:pos="1531"/>
        <w:tab w:val="left" w:pos="708"/>
      </w:tabs>
      <w:spacing w:after="240"/>
      <w:ind w:left="1474"/>
    </w:pPr>
  </w:style>
  <w:style w:type="paragraph" w:styleId="Loendijtk4">
    <w:name w:val="List Continue 4"/>
    <w:basedOn w:val="Normaallaad"/>
    <w:uiPriority w:val="99"/>
    <w:semiHidden/>
    <w:unhideWhenUsed/>
    <w:rsid w:val="00010DDB"/>
    <w:pPr>
      <w:tabs>
        <w:tab w:val="clear" w:pos="850"/>
        <w:tab w:val="clear" w:pos="1191"/>
        <w:tab w:val="clear" w:pos="1531"/>
        <w:tab w:val="left" w:pos="708"/>
      </w:tabs>
      <w:spacing w:after="240"/>
      <w:ind w:left="1757"/>
    </w:pPr>
  </w:style>
  <w:style w:type="paragraph" w:styleId="Loendijtk5">
    <w:name w:val="List Continue 5"/>
    <w:basedOn w:val="Normaallaad"/>
    <w:uiPriority w:val="99"/>
    <w:semiHidden/>
    <w:unhideWhenUsed/>
    <w:rsid w:val="00010DDB"/>
    <w:pPr>
      <w:tabs>
        <w:tab w:val="clear" w:pos="850"/>
        <w:tab w:val="clear" w:pos="1191"/>
        <w:tab w:val="clear" w:pos="1531"/>
        <w:tab w:val="left" w:pos="708"/>
      </w:tabs>
      <w:spacing w:after="240"/>
      <w:ind w:left="2041"/>
    </w:pPr>
  </w:style>
  <w:style w:type="paragraph" w:styleId="Snumipis">
    <w:name w:val="Message Header"/>
    <w:basedOn w:val="Normaallaad"/>
    <w:link w:val="SnumipisMrk"/>
    <w:uiPriority w:val="99"/>
    <w:semiHidden/>
    <w:unhideWhenUsed/>
    <w:rsid w:val="00010DD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SnumipisMrk">
    <w:name w:val="Sõnumi päis Märk"/>
    <w:basedOn w:val="Liguvaikefont"/>
    <w:link w:val="Snumipis"/>
    <w:uiPriority w:val="99"/>
    <w:semiHidden/>
    <w:locked/>
    <w:rsid w:val="00010DDB"/>
    <w:rPr>
      <w:rFonts w:ascii="Arial" w:hAnsi="Arial" w:cs="Arial"/>
      <w:sz w:val="24"/>
      <w:szCs w:val="24"/>
      <w:shd w:val="pct20" w:color="auto" w:fill="auto"/>
      <w:lang w:val="et-EE" w:eastAsia="et-EE"/>
    </w:rPr>
  </w:style>
  <w:style w:type="paragraph" w:styleId="Alapealkiri">
    <w:name w:val="Subtitle"/>
    <w:basedOn w:val="Normaallaad"/>
    <w:link w:val="AlapealkiriMrk"/>
    <w:uiPriority w:val="99"/>
    <w:qFormat/>
    <w:rsid w:val="00010DDB"/>
    <w:pPr>
      <w:spacing w:after="60"/>
      <w:jc w:val="center"/>
      <w:outlineLvl w:val="1"/>
    </w:pPr>
    <w:rPr>
      <w:rFonts w:ascii="Arial" w:hAnsi="Arial" w:cs="Arial"/>
      <w:sz w:val="24"/>
      <w:szCs w:val="24"/>
    </w:rPr>
  </w:style>
  <w:style w:type="character" w:customStyle="1" w:styleId="AlapealkiriMrk">
    <w:name w:val="Alapealkiri Märk"/>
    <w:basedOn w:val="Liguvaikefont"/>
    <w:link w:val="Alapealkiri"/>
    <w:uiPriority w:val="99"/>
    <w:locked/>
    <w:rsid w:val="00010DDB"/>
    <w:rPr>
      <w:rFonts w:ascii="Arial" w:hAnsi="Arial" w:cs="Arial"/>
      <w:sz w:val="24"/>
      <w:szCs w:val="24"/>
      <w:lang w:val="et-EE" w:eastAsia="et-EE"/>
    </w:rPr>
  </w:style>
  <w:style w:type="paragraph" w:styleId="Tervitus">
    <w:name w:val="Salutation"/>
    <w:basedOn w:val="Normaallaad"/>
    <w:next w:val="Normaallaad"/>
    <w:link w:val="TervitusMrk"/>
    <w:uiPriority w:val="99"/>
    <w:semiHidden/>
    <w:unhideWhenUsed/>
    <w:rsid w:val="00010DDB"/>
  </w:style>
  <w:style w:type="character" w:customStyle="1" w:styleId="TervitusMrk">
    <w:name w:val="Tervitus Märk"/>
    <w:basedOn w:val="Liguvaikefont"/>
    <w:link w:val="Tervitus"/>
    <w:uiPriority w:val="99"/>
    <w:semiHidden/>
    <w:locked/>
    <w:rsid w:val="00010DDB"/>
    <w:rPr>
      <w:rFonts w:ascii="Times New Roman" w:hAnsi="Times New Roman" w:cs="Times New Roman"/>
      <w:lang w:val="et-EE" w:eastAsia="et-EE"/>
    </w:rPr>
  </w:style>
  <w:style w:type="paragraph" w:styleId="Kuupev">
    <w:name w:val="Date"/>
    <w:basedOn w:val="Normaallaad"/>
    <w:next w:val="Normaallaad"/>
    <w:link w:val="KuupevMrk"/>
    <w:uiPriority w:val="99"/>
    <w:semiHidden/>
    <w:unhideWhenUsed/>
    <w:rsid w:val="00010DDB"/>
  </w:style>
  <w:style w:type="character" w:customStyle="1" w:styleId="KuupevMrk">
    <w:name w:val="Kuupäev Märk"/>
    <w:basedOn w:val="Liguvaikefont"/>
    <w:link w:val="Kuupev"/>
    <w:uiPriority w:val="99"/>
    <w:semiHidden/>
    <w:locked/>
    <w:rsid w:val="00010DDB"/>
    <w:rPr>
      <w:rFonts w:ascii="Times New Roman" w:hAnsi="Times New Roman" w:cs="Times New Roman"/>
      <w:lang w:val="et-EE" w:eastAsia="et-EE"/>
    </w:rPr>
  </w:style>
  <w:style w:type="paragraph" w:styleId="Esireataandegakehatekst">
    <w:name w:val="Body Text First Indent"/>
    <w:basedOn w:val="Kehatekst"/>
    <w:link w:val="EsireataandegakehatekstMrk"/>
    <w:uiPriority w:val="99"/>
    <w:semiHidden/>
    <w:unhideWhenUsed/>
    <w:rsid w:val="00010DDB"/>
    <w:pPr>
      <w:spacing w:after="120"/>
      <w:ind w:firstLine="210"/>
    </w:pPr>
  </w:style>
  <w:style w:type="character" w:customStyle="1" w:styleId="EsireataandegakehatekstMrk">
    <w:name w:val="Esireataandega kehatekst Märk"/>
    <w:basedOn w:val="KehatekstMrk"/>
    <w:link w:val="Esireataandegakehatekst"/>
    <w:uiPriority w:val="99"/>
    <w:semiHidden/>
    <w:locked/>
    <w:rsid w:val="00010DDB"/>
    <w:rPr>
      <w:rFonts w:ascii="Times New Roman" w:hAnsi="Times New Roman" w:cs="Times New Roman"/>
      <w:lang w:val="et-EE" w:eastAsia="et-EE"/>
    </w:rPr>
  </w:style>
  <w:style w:type="paragraph" w:styleId="Esireataandegakehatekst2">
    <w:name w:val="Body Text First Indent 2"/>
    <w:basedOn w:val="Taandegakehatekst"/>
    <w:link w:val="Esireataandegakehatekst2Mrk"/>
    <w:uiPriority w:val="99"/>
    <w:semiHidden/>
    <w:unhideWhenUsed/>
    <w:rsid w:val="00010DDB"/>
    <w:pPr>
      <w:ind w:firstLine="210"/>
    </w:pPr>
  </w:style>
  <w:style w:type="character" w:customStyle="1" w:styleId="Esireataandegakehatekst2Mrk">
    <w:name w:val="Esireataandega kehatekst 2 Märk"/>
    <w:basedOn w:val="TaandegakehatekstMrk"/>
    <w:link w:val="Esireataandegakehatekst2"/>
    <w:uiPriority w:val="99"/>
    <w:semiHidden/>
    <w:locked/>
    <w:rsid w:val="00010DDB"/>
    <w:rPr>
      <w:rFonts w:ascii="Times New Roman" w:hAnsi="Times New Roman" w:cs="Times New Roman"/>
      <w:lang w:val="et-EE" w:eastAsia="et-EE"/>
    </w:rPr>
  </w:style>
  <w:style w:type="paragraph" w:styleId="Mrkmepealkiri">
    <w:name w:val="Note Heading"/>
    <w:basedOn w:val="Normaallaad"/>
    <w:next w:val="Normaallaad"/>
    <w:link w:val="MrkmepealkiriMrk"/>
    <w:uiPriority w:val="99"/>
    <w:semiHidden/>
    <w:unhideWhenUsed/>
    <w:rsid w:val="00010DDB"/>
  </w:style>
  <w:style w:type="character" w:customStyle="1" w:styleId="MrkmepealkiriMrk">
    <w:name w:val="Märkme pealkiri Märk"/>
    <w:basedOn w:val="Liguvaikefont"/>
    <w:link w:val="Mrkmepealkiri"/>
    <w:uiPriority w:val="99"/>
    <w:semiHidden/>
    <w:locked/>
    <w:rsid w:val="00010DDB"/>
    <w:rPr>
      <w:rFonts w:ascii="Times New Roman" w:hAnsi="Times New Roman" w:cs="Times New Roman"/>
      <w:lang w:val="et-EE" w:eastAsia="et-EE"/>
    </w:rPr>
  </w:style>
  <w:style w:type="paragraph" w:styleId="Kehatekst2">
    <w:name w:val="Body Text 2"/>
    <w:basedOn w:val="Normaallaad"/>
    <w:link w:val="Kehatekst2Mrk"/>
    <w:uiPriority w:val="99"/>
    <w:semiHidden/>
    <w:unhideWhenUsed/>
    <w:rsid w:val="00010DDB"/>
    <w:pPr>
      <w:spacing w:after="120" w:line="480" w:lineRule="auto"/>
    </w:pPr>
  </w:style>
  <w:style w:type="character" w:customStyle="1" w:styleId="Kehatekst2Mrk">
    <w:name w:val="Kehatekst 2 Märk"/>
    <w:basedOn w:val="Liguvaikefont"/>
    <w:link w:val="Kehatekst2"/>
    <w:uiPriority w:val="99"/>
    <w:semiHidden/>
    <w:locked/>
    <w:rsid w:val="00010DDB"/>
    <w:rPr>
      <w:rFonts w:ascii="Times New Roman" w:hAnsi="Times New Roman" w:cs="Times New Roman"/>
      <w:lang w:val="et-EE" w:eastAsia="et-EE"/>
    </w:rPr>
  </w:style>
  <w:style w:type="paragraph" w:styleId="Kehatekst3">
    <w:name w:val="Body Text 3"/>
    <w:basedOn w:val="Normaallaad"/>
    <w:link w:val="Kehatekst3Mrk"/>
    <w:uiPriority w:val="99"/>
    <w:semiHidden/>
    <w:unhideWhenUsed/>
    <w:rsid w:val="00010DDB"/>
    <w:pPr>
      <w:spacing w:after="120"/>
    </w:pPr>
    <w:rPr>
      <w:sz w:val="16"/>
      <w:szCs w:val="16"/>
    </w:rPr>
  </w:style>
  <w:style w:type="character" w:customStyle="1" w:styleId="Kehatekst3Mrk">
    <w:name w:val="Kehatekst 3 Märk"/>
    <w:basedOn w:val="Liguvaikefont"/>
    <w:link w:val="Kehatekst3"/>
    <w:uiPriority w:val="99"/>
    <w:semiHidden/>
    <w:locked/>
    <w:rsid w:val="00010DDB"/>
    <w:rPr>
      <w:rFonts w:ascii="Times New Roman" w:hAnsi="Times New Roman" w:cs="Times New Roman"/>
      <w:sz w:val="16"/>
      <w:szCs w:val="16"/>
      <w:lang w:val="et-EE" w:eastAsia="et-EE"/>
    </w:rPr>
  </w:style>
  <w:style w:type="paragraph" w:styleId="Taandegakehatekst2">
    <w:name w:val="Body Text Indent 2"/>
    <w:basedOn w:val="Normaallaad"/>
    <w:link w:val="Taandegakehatekst2Mrk"/>
    <w:uiPriority w:val="99"/>
    <w:semiHidden/>
    <w:unhideWhenUsed/>
    <w:rsid w:val="00010DDB"/>
    <w:pPr>
      <w:spacing w:after="120" w:line="480" w:lineRule="auto"/>
      <w:ind w:left="283"/>
    </w:pPr>
  </w:style>
  <w:style w:type="character" w:customStyle="1" w:styleId="Taandegakehatekst2Mrk">
    <w:name w:val="Taandega kehatekst 2 Märk"/>
    <w:basedOn w:val="Liguvaikefont"/>
    <w:link w:val="Taandegakehatekst2"/>
    <w:uiPriority w:val="99"/>
    <w:semiHidden/>
    <w:locked/>
    <w:rsid w:val="00010DDB"/>
    <w:rPr>
      <w:rFonts w:ascii="Times New Roman" w:hAnsi="Times New Roman" w:cs="Times New Roman"/>
      <w:lang w:val="et-EE" w:eastAsia="et-EE"/>
    </w:rPr>
  </w:style>
  <w:style w:type="paragraph" w:styleId="Taandegakehatekst3">
    <w:name w:val="Body Text Indent 3"/>
    <w:basedOn w:val="Normaallaad"/>
    <w:link w:val="Taandegakehatekst3Mrk"/>
    <w:uiPriority w:val="99"/>
    <w:semiHidden/>
    <w:unhideWhenUsed/>
    <w:rsid w:val="00010DDB"/>
    <w:pPr>
      <w:spacing w:after="120"/>
      <w:ind w:left="283"/>
    </w:pPr>
    <w:rPr>
      <w:sz w:val="16"/>
      <w:szCs w:val="16"/>
    </w:rPr>
  </w:style>
  <w:style w:type="character" w:customStyle="1" w:styleId="Taandegakehatekst3Mrk">
    <w:name w:val="Taandega kehatekst 3 Märk"/>
    <w:basedOn w:val="Liguvaikefont"/>
    <w:link w:val="Taandegakehatekst3"/>
    <w:uiPriority w:val="99"/>
    <w:semiHidden/>
    <w:locked/>
    <w:rsid w:val="00010DDB"/>
    <w:rPr>
      <w:rFonts w:ascii="Times New Roman" w:hAnsi="Times New Roman" w:cs="Times New Roman"/>
      <w:sz w:val="16"/>
      <w:szCs w:val="16"/>
      <w:lang w:val="et-EE" w:eastAsia="et-EE"/>
    </w:rPr>
  </w:style>
  <w:style w:type="paragraph" w:styleId="Plokktekst">
    <w:name w:val="Block Text"/>
    <w:basedOn w:val="Normaallaad"/>
    <w:uiPriority w:val="99"/>
    <w:semiHidden/>
    <w:unhideWhenUsed/>
    <w:rsid w:val="00010DDB"/>
    <w:pPr>
      <w:spacing w:after="120"/>
      <w:ind w:left="1440" w:right="1440"/>
    </w:pPr>
  </w:style>
  <w:style w:type="paragraph" w:styleId="Dokumendiplaan">
    <w:name w:val="Document Map"/>
    <w:basedOn w:val="Normaallaad"/>
    <w:link w:val="DokumendiplaanMrk"/>
    <w:uiPriority w:val="99"/>
    <w:semiHidden/>
    <w:unhideWhenUsed/>
    <w:rsid w:val="00010DDB"/>
    <w:pPr>
      <w:shd w:val="clear" w:color="auto" w:fill="000080"/>
    </w:pPr>
    <w:rPr>
      <w:rFonts w:ascii="Tahoma" w:hAnsi="Tahoma" w:cs="Tahoma"/>
    </w:rPr>
  </w:style>
  <w:style w:type="character" w:customStyle="1" w:styleId="DokumendiplaanMrk">
    <w:name w:val="Dokumendiplaan Märk"/>
    <w:basedOn w:val="Liguvaikefont"/>
    <w:link w:val="Dokumendiplaan"/>
    <w:uiPriority w:val="99"/>
    <w:semiHidden/>
    <w:locked/>
    <w:rsid w:val="00010DDB"/>
    <w:rPr>
      <w:rFonts w:ascii="Tahoma" w:hAnsi="Tahoma" w:cs="Tahoma"/>
      <w:shd w:val="clear" w:color="auto" w:fill="000080"/>
      <w:lang w:val="et-EE" w:eastAsia="et-EE"/>
    </w:rPr>
  </w:style>
  <w:style w:type="paragraph" w:styleId="Lihttekst">
    <w:name w:val="Plain Text"/>
    <w:basedOn w:val="Normaallaad"/>
    <w:link w:val="LihttekstMrk"/>
    <w:uiPriority w:val="99"/>
    <w:semiHidden/>
    <w:unhideWhenUsed/>
    <w:rsid w:val="00010DDB"/>
    <w:rPr>
      <w:rFonts w:ascii="Courier New" w:hAnsi="Courier New" w:cs="Courier New"/>
      <w:sz w:val="20"/>
      <w:szCs w:val="20"/>
    </w:rPr>
  </w:style>
  <w:style w:type="character" w:customStyle="1" w:styleId="LihttekstMrk">
    <w:name w:val="Lihttekst Märk"/>
    <w:basedOn w:val="Liguvaikefont"/>
    <w:link w:val="Lihttekst"/>
    <w:uiPriority w:val="99"/>
    <w:semiHidden/>
    <w:locked/>
    <w:rsid w:val="00010DDB"/>
    <w:rPr>
      <w:rFonts w:ascii="Courier New" w:hAnsi="Courier New" w:cs="Courier New"/>
      <w:sz w:val="20"/>
      <w:szCs w:val="20"/>
      <w:lang w:val="et-EE" w:eastAsia="et-EE"/>
    </w:rPr>
  </w:style>
  <w:style w:type="paragraph" w:styleId="Meilisignatuur">
    <w:name w:val="E-mail Signature"/>
    <w:basedOn w:val="Normaallaad"/>
    <w:link w:val="MeilisignatuurMrk"/>
    <w:uiPriority w:val="99"/>
    <w:semiHidden/>
    <w:unhideWhenUsed/>
    <w:rsid w:val="00010DDB"/>
  </w:style>
  <w:style w:type="character" w:customStyle="1" w:styleId="MeilisignatuurMrk">
    <w:name w:val="Meilisignatuur Märk"/>
    <w:basedOn w:val="Liguvaikefont"/>
    <w:link w:val="Meilisignatuur"/>
    <w:uiPriority w:val="99"/>
    <w:semiHidden/>
    <w:locked/>
    <w:rsid w:val="00010DDB"/>
    <w:rPr>
      <w:rFonts w:ascii="Times New Roman" w:hAnsi="Times New Roman" w:cs="Times New Roman"/>
      <w:lang w:val="et-EE" w:eastAsia="et-EE"/>
    </w:rPr>
  </w:style>
  <w:style w:type="paragraph" w:styleId="Kommentaariteema">
    <w:name w:val="annotation subject"/>
    <w:basedOn w:val="Kommentaaritekst"/>
    <w:next w:val="Kommentaaritekst"/>
    <w:link w:val="KommentaariteemaMrk"/>
    <w:uiPriority w:val="99"/>
    <w:semiHidden/>
    <w:unhideWhenUsed/>
    <w:rsid w:val="00010DDB"/>
    <w:rPr>
      <w:b/>
      <w:bCs/>
    </w:rPr>
  </w:style>
  <w:style w:type="character" w:customStyle="1" w:styleId="KommentaariteemaMrk">
    <w:name w:val="Kommentaari teema Märk"/>
    <w:basedOn w:val="KommentaaritekstMrk"/>
    <w:link w:val="Kommentaariteema"/>
    <w:uiPriority w:val="99"/>
    <w:semiHidden/>
    <w:locked/>
    <w:rsid w:val="00010DDB"/>
    <w:rPr>
      <w:rFonts w:ascii="Times New Roman" w:hAnsi="Times New Roman" w:cs="Times New Roman"/>
      <w:b/>
      <w:bCs/>
      <w:sz w:val="20"/>
      <w:szCs w:val="20"/>
      <w:lang w:val="et-EE" w:eastAsia="et-EE"/>
    </w:rPr>
  </w:style>
  <w:style w:type="paragraph" w:styleId="Jutumullitekst">
    <w:name w:val="Balloon Text"/>
    <w:basedOn w:val="Normaallaad"/>
    <w:link w:val="JutumullitekstMrk"/>
    <w:uiPriority w:val="99"/>
    <w:semiHidden/>
    <w:unhideWhenUsed/>
    <w:rsid w:val="00010DDB"/>
    <w:rPr>
      <w:rFonts w:ascii="Tahoma" w:hAnsi="Tahoma" w:cs="Tahoma"/>
      <w:sz w:val="16"/>
      <w:szCs w:val="16"/>
    </w:rPr>
  </w:style>
  <w:style w:type="character" w:customStyle="1" w:styleId="JutumullitekstMrk">
    <w:name w:val="Jutumullitekst Märk"/>
    <w:basedOn w:val="Liguvaikefont"/>
    <w:link w:val="Jutumullitekst"/>
    <w:uiPriority w:val="99"/>
    <w:semiHidden/>
    <w:locked/>
    <w:rsid w:val="00010DDB"/>
    <w:rPr>
      <w:rFonts w:ascii="Tahoma" w:hAnsi="Tahoma" w:cs="Tahoma"/>
      <w:sz w:val="16"/>
      <w:szCs w:val="16"/>
      <w:lang w:val="et-EE" w:eastAsia="et-EE"/>
    </w:rPr>
  </w:style>
  <w:style w:type="paragraph" w:styleId="Vahedeta">
    <w:name w:val="No Spacing"/>
    <w:uiPriority w:val="1"/>
    <w:qFormat/>
    <w:rsid w:val="00010DDB"/>
    <w:pPr>
      <w:tabs>
        <w:tab w:val="left" w:pos="850"/>
        <w:tab w:val="left" w:pos="1191"/>
        <w:tab w:val="left" w:pos="1531"/>
      </w:tabs>
      <w:spacing w:after="0" w:line="240" w:lineRule="auto"/>
      <w:jc w:val="both"/>
    </w:pPr>
    <w:rPr>
      <w:rFonts w:ascii="Times New Roman" w:hAnsi="Times New Roman" w:cs="Times New Roman"/>
    </w:rPr>
  </w:style>
  <w:style w:type="paragraph" w:styleId="Redaktsioon">
    <w:name w:val="Revision"/>
    <w:uiPriority w:val="99"/>
    <w:semiHidden/>
    <w:rsid w:val="00010DDB"/>
    <w:pPr>
      <w:tabs>
        <w:tab w:val="left" w:pos="708"/>
      </w:tabs>
      <w:spacing w:after="0" w:line="240" w:lineRule="auto"/>
    </w:pPr>
    <w:rPr>
      <w:rFonts w:ascii="Times New Roman" w:hAnsi="Times New Roman" w:cs="Times New Roman"/>
    </w:rPr>
  </w:style>
  <w:style w:type="paragraph" w:styleId="Loendilik">
    <w:name w:val="List Paragraph"/>
    <w:basedOn w:val="Normaallaad"/>
    <w:uiPriority w:val="34"/>
    <w:qFormat/>
    <w:rsid w:val="00010DDB"/>
    <w:pPr>
      <w:ind w:left="720"/>
      <w:contextualSpacing/>
    </w:pPr>
  </w:style>
  <w:style w:type="paragraph" w:styleId="Tsitaat">
    <w:name w:val="Quote"/>
    <w:basedOn w:val="Normaallaad"/>
    <w:next w:val="Normaallaad"/>
    <w:link w:val="TsitaatMrk"/>
    <w:uiPriority w:val="29"/>
    <w:qFormat/>
    <w:rsid w:val="00010DDB"/>
    <w:rPr>
      <w:i/>
      <w:iCs/>
      <w:color w:val="000000" w:themeColor="text1"/>
    </w:rPr>
  </w:style>
  <w:style w:type="character" w:customStyle="1" w:styleId="TsitaatMrk">
    <w:name w:val="Tsitaat Märk"/>
    <w:basedOn w:val="Liguvaikefont"/>
    <w:link w:val="Tsitaat"/>
    <w:uiPriority w:val="29"/>
    <w:locked/>
    <w:rsid w:val="00010DDB"/>
    <w:rPr>
      <w:rFonts w:ascii="Times New Roman" w:hAnsi="Times New Roman" w:cs="Times New Roman"/>
      <w:i/>
      <w:iCs/>
      <w:color w:val="000000" w:themeColor="text1"/>
      <w:lang w:val="et-EE" w:eastAsia="et-EE"/>
    </w:rPr>
  </w:style>
  <w:style w:type="paragraph" w:styleId="Tugevtsitaat">
    <w:name w:val="Intense Quote"/>
    <w:basedOn w:val="Normaallaad"/>
    <w:next w:val="Normaallaad"/>
    <w:link w:val="TugevtsitaatMrk"/>
    <w:uiPriority w:val="30"/>
    <w:qFormat/>
    <w:rsid w:val="00010DDB"/>
    <w:pPr>
      <w:pBdr>
        <w:bottom w:val="single" w:sz="4" w:space="4" w:color="4F81BD" w:themeColor="accent1"/>
      </w:pBdr>
      <w:spacing w:before="200" w:after="280"/>
      <w:ind w:left="936" w:right="936"/>
    </w:pPr>
    <w:rPr>
      <w:b/>
      <w:bCs/>
      <w:i/>
      <w:iCs/>
      <w:color w:val="4F81BD" w:themeColor="accent1"/>
    </w:rPr>
  </w:style>
  <w:style w:type="character" w:customStyle="1" w:styleId="TugevtsitaatMrk">
    <w:name w:val="Tugev tsitaat Märk"/>
    <w:basedOn w:val="Liguvaikefont"/>
    <w:link w:val="Tugevtsitaat"/>
    <w:uiPriority w:val="30"/>
    <w:locked/>
    <w:rsid w:val="00010DDB"/>
    <w:rPr>
      <w:rFonts w:ascii="Times New Roman" w:hAnsi="Times New Roman" w:cs="Times New Roman"/>
      <w:b/>
      <w:bCs/>
      <w:i/>
      <w:iCs/>
      <w:color w:val="4F81BD" w:themeColor="accent1"/>
      <w:lang w:val="et-EE" w:eastAsia="et-EE"/>
    </w:rPr>
  </w:style>
  <w:style w:type="paragraph" w:styleId="Bibliograafia">
    <w:name w:val="Bibliography"/>
    <w:basedOn w:val="Normaallaad"/>
    <w:next w:val="Normaallaad"/>
    <w:uiPriority w:val="37"/>
    <w:semiHidden/>
    <w:unhideWhenUsed/>
    <w:rsid w:val="00010DDB"/>
  </w:style>
  <w:style w:type="paragraph" w:styleId="Sisukorrapealkiri">
    <w:name w:val="TOC Heading"/>
    <w:basedOn w:val="Pealkiri1"/>
    <w:next w:val="Normaallaad"/>
    <w:uiPriority w:val="39"/>
    <w:unhideWhenUsed/>
    <w:qFormat/>
    <w:rsid w:val="00010DDB"/>
    <w:pPr>
      <w:keepLines/>
      <w:spacing w:before="480" w:after="0"/>
      <w:jc w:val="both"/>
      <w:outlineLvl w:val="9"/>
    </w:pPr>
    <w:rPr>
      <w:rFonts w:asciiTheme="majorHAnsi" w:eastAsiaTheme="majorEastAsia" w:hAnsiTheme="majorHAnsi" w:cstheme="majorBidi"/>
      <w:caps w:val="0"/>
      <w:color w:val="365F91" w:themeColor="accent1" w:themeShade="BF"/>
      <w:kern w:val="0"/>
      <w:sz w:val="28"/>
      <w:szCs w:val="28"/>
    </w:rPr>
  </w:style>
  <w:style w:type="paragraph" w:customStyle="1" w:styleId="AnnexHeading">
    <w:name w:val="Annex Heading"/>
    <w:basedOn w:val="Normaallaad"/>
    <w:next w:val="Kehatekst"/>
    <w:uiPriority w:val="99"/>
    <w:rsid w:val="00010DDB"/>
    <w:pPr>
      <w:keepNext/>
      <w:spacing w:before="1200" w:after="720"/>
      <w:jc w:val="center"/>
    </w:pPr>
    <w:rPr>
      <w:b/>
      <w:bCs/>
      <w:caps/>
    </w:rPr>
  </w:style>
  <w:style w:type="paragraph" w:customStyle="1" w:styleId="Annotation">
    <w:name w:val="Annotation"/>
    <w:basedOn w:val="Kehatekst"/>
    <w:uiPriority w:val="99"/>
    <w:rsid w:val="00010DDB"/>
    <w:pPr>
      <w:ind w:firstLine="0"/>
      <w:jc w:val="left"/>
    </w:pPr>
    <w:rPr>
      <w:b/>
      <w:bCs/>
      <w:i/>
      <w:iCs/>
    </w:rPr>
  </w:style>
  <w:style w:type="paragraph" w:customStyle="1" w:styleId="AppendixHeading">
    <w:name w:val="Appendix Heading"/>
    <w:basedOn w:val="Normaallaad"/>
    <w:next w:val="Kehatekst"/>
    <w:uiPriority w:val="99"/>
    <w:rsid w:val="00010DDB"/>
    <w:pPr>
      <w:keepNext/>
      <w:spacing w:before="1200" w:after="720"/>
      <w:jc w:val="center"/>
    </w:pPr>
    <w:rPr>
      <w:b/>
      <w:bCs/>
      <w:caps/>
    </w:rPr>
  </w:style>
  <w:style w:type="paragraph" w:customStyle="1" w:styleId="Biblio-Entry">
    <w:name w:val="Biblio-Entry"/>
    <w:basedOn w:val="Kehatekst"/>
    <w:uiPriority w:val="99"/>
    <w:rsid w:val="00010DDB"/>
    <w:pPr>
      <w:ind w:left="567" w:hanging="567"/>
      <w:jc w:val="left"/>
    </w:pPr>
  </w:style>
  <w:style w:type="paragraph" w:customStyle="1" w:styleId="BibliographyHeading">
    <w:name w:val="Bibliography Heading"/>
    <w:basedOn w:val="Normaallaad"/>
    <w:next w:val="Biblio-Entry"/>
    <w:uiPriority w:val="99"/>
    <w:rsid w:val="00010DDB"/>
    <w:pPr>
      <w:keepNext/>
      <w:spacing w:before="1200" w:after="720"/>
      <w:jc w:val="center"/>
    </w:pPr>
    <w:rPr>
      <w:b/>
      <w:bCs/>
      <w:caps/>
    </w:rPr>
  </w:style>
  <w:style w:type="paragraph" w:customStyle="1" w:styleId="BoxBodyText">
    <w:name w:val="Box Body Text"/>
    <w:basedOn w:val="Normaallaad"/>
    <w:uiPriority w:val="99"/>
    <w:rsid w:val="00010DDB"/>
    <w:pPr>
      <w:spacing w:after="240"/>
      <w:ind w:firstLine="442"/>
    </w:pPr>
    <w:rPr>
      <w:rFonts w:ascii="Arial" w:hAnsi="Arial" w:cs="Arial"/>
      <w:sz w:val="18"/>
    </w:rPr>
  </w:style>
  <w:style w:type="paragraph" w:customStyle="1" w:styleId="BoxHeading">
    <w:name w:val="Box Heading"/>
    <w:basedOn w:val="Normaallaad"/>
    <w:next w:val="BoxBodyText"/>
    <w:uiPriority w:val="99"/>
    <w:rsid w:val="00010DDB"/>
    <w:pPr>
      <w:spacing w:before="240" w:after="240"/>
      <w:jc w:val="center"/>
    </w:pPr>
    <w:rPr>
      <w:rFonts w:ascii="Arial" w:hAnsi="Arial" w:cs="Arial"/>
      <w:b/>
      <w:bCs/>
      <w:sz w:val="18"/>
    </w:rPr>
  </w:style>
  <w:style w:type="paragraph" w:customStyle="1" w:styleId="Cell">
    <w:name w:val="Cell"/>
    <w:basedOn w:val="Normaallaad"/>
    <w:uiPriority w:val="99"/>
    <w:rsid w:val="00010DDB"/>
    <w:pPr>
      <w:tabs>
        <w:tab w:val="clear" w:pos="850"/>
        <w:tab w:val="clear" w:pos="1191"/>
        <w:tab w:val="clear" w:pos="1531"/>
        <w:tab w:val="left" w:pos="708"/>
      </w:tabs>
      <w:jc w:val="left"/>
    </w:pPr>
    <w:rPr>
      <w:rFonts w:ascii="Arial" w:hAnsi="Arial" w:cs="Arial"/>
      <w:sz w:val="18"/>
      <w:szCs w:val="18"/>
    </w:rPr>
  </w:style>
  <w:style w:type="paragraph" w:customStyle="1" w:styleId="ColumnsHeading">
    <w:name w:val="Columns Heading"/>
    <w:basedOn w:val="Normaallaad"/>
    <w:uiPriority w:val="99"/>
    <w:rsid w:val="00010DDB"/>
    <w:pPr>
      <w:tabs>
        <w:tab w:val="clear" w:pos="850"/>
        <w:tab w:val="clear" w:pos="1191"/>
        <w:tab w:val="clear" w:pos="1531"/>
        <w:tab w:val="left" w:pos="708"/>
      </w:tabs>
      <w:jc w:val="center"/>
    </w:pPr>
    <w:rPr>
      <w:rFonts w:ascii="Arial" w:hAnsi="Arial" w:cs="Arial"/>
      <w:sz w:val="18"/>
      <w:szCs w:val="18"/>
    </w:rPr>
  </w:style>
  <w:style w:type="paragraph" w:customStyle="1" w:styleId="ConclusionHeading">
    <w:name w:val="Conclusion Heading"/>
    <w:basedOn w:val="Normaallaad"/>
    <w:next w:val="Kehatekst"/>
    <w:uiPriority w:val="99"/>
    <w:rsid w:val="00010DDB"/>
    <w:pPr>
      <w:keepNext/>
      <w:spacing w:before="1200" w:after="720"/>
      <w:jc w:val="center"/>
    </w:pPr>
    <w:rPr>
      <w:b/>
      <w:bCs/>
      <w:caps/>
    </w:rPr>
  </w:style>
  <w:style w:type="paragraph" w:customStyle="1" w:styleId="DefinitionList">
    <w:name w:val="Definition List"/>
    <w:basedOn w:val="Kehatekst"/>
    <w:uiPriority w:val="99"/>
    <w:rsid w:val="00010DDB"/>
    <w:pPr>
      <w:tabs>
        <w:tab w:val="clear" w:pos="850"/>
        <w:tab w:val="clear" w:pos="1191"/>
        <w:tab w:val="clear" w:pos="1531"/>
        <w:tab w:val="left" w:pos="708"/>
      </w:tabs>
      <w:ind w:left="1984" w:hanging="1984"/>
      <w:jc w:val="center"/>
    </w:pPr>
  </w:style>
  <w:style w:type="paragraph" w:customStyle="1" w:styleId="EndnotesHeading">
    <w:name w:val="Endnotes Heading"/>
    <w:basedOn w:val="Normaallaad"/>
    <w:next w:val="Kehatekst"/>
    <w:uiPriority w:val="99"/>
    <w:rsid w:val="00010DDB"/>
    <w:pPr>
      <w:keepNext/>
      <w:spacing w:before="1200" w:after="480"/>
      <w:jc w:val="center"/>
    </w:pPr>
    <w:rPr>
      <w:b/>
      <w:bCs/>
      <w:caps/>
    </w:rPr>
  </w:style>
  <w:style w:type="paragraph" w:customStyle="1" w:styleId="ExecutiveSummaryHeading">
    <w:name w:val="Executive Summary Heading"/>
    <w:basedOn w:val="Normaallaad"/>
    <w:next w:val="Kehatekst"/>
    <w:uiPriority w:val="99"/>
    <w:rsid w:val="00010DDB"/>
    <w:pPr>
      <w:keepNext/>
      <w:spacing w:before="1200" w:after="720"/>
      <w:jc w:val="center"/>
    </w:pPr>
    <w:rPr>
      <w:b/>
      <w:bCs/>
      <w:caps/>
    </w:rPr>
  </w:style>
  <w:style w:type="paragraph" w:customStyle="1" w:styleId="FigureNote">
    <w:name w:val="Figure Note"/>
    <w:basedOn w:val="Normaallaad"/>
    <w:uiPriority w:val="99"/>
    <w:rsid w:val="00010DDB"/>
    <w:pPr>
      <w:spacing w:after="120"/>
    </w:pPr>
    <w:rPr>
      <w:rFonts w:ascii="Arial" w:hAnsi="Arial" w:cs="Arial"/>
      <w:sz w:val="16"/>
      <w:szCs w:val="18"/>
    </w:rPr>
  </w:style>
  <w:style w:type="paragraph" w:customStyle="1" w:styleId="FigureSub-title">
    <w:name w:val="Figure Sub-title"/>
    <w:basedOn w:val="Normaallaad"/>
    <w:uiPriority w:val="99"/>
    <w:rsid w:val="00010DDB"/>
    <w:pPr>
      <w:keepNext/>
      <w:spacing w:after="120"/>
      <w:jc w:val="center"/>
    </w:pPr>
    <w:rPr>
      <w:rFonts w:ascii="Arial" w:hAnsi="Arial" w:cs="Arial"/>
      <w:sz w:val="18"/>
    </w:rPr>
  </w:style>
  <w:style w:type="paragraph" w:customStyle="1" w:styleId="FigureTitle">
    <w:name w:val="Figure Title"/>
    <w:basedOn w:val="Normaallaad"/>
    <w:next w:val="FigureSub-title"/>
    <w:uiPriority w:val="99"/>
    <w:rsid w:val="00010DDB"/>
    <w:pPr>
      <w:keepNext/>
      <w:spacing w:after="240"/>
      <w:jc w:val="center"/>
    </w:pPr>
    <w:rPr>
      <w:rFonts w:ascii="Arial" w:hAnsi="Arial" w:cs="Arial"/>
      <w:b/>
      <w:bCs/>
      <w:sz w:val="18"/>
    </w:rPr>
  </w:style>
  <w:style w:type="paragraph" w:customStyle="1" w:styleId="ForewordHeading">
    <w:name w:val="Foreword Heading"/>
    <w:basedOn w:val="Normaallaad"/>
    <w:next w:val="Kehatekst"/>
    <w:uiPriority w:val="99"/>
    <w:rsid w:val="00010DDB"/>
    <w:pPr>
      <w:keepNext/>
      <w:spacing w:before="1200" w:after="720"/>
      <w:jc w:val="center"/>
    </w:pPr>
    <w:rPr>
      <w:b/>
      <w:bCs/>
      <w:caps/>
    </w:rPr>
  </w:style>
  <w:style w:type="paragraph" w:customStyle="1" w:styleId="GlossaryHeading">
    <w:name w:val="Glossary Heading"/>
    <w:basedOn w:val="Normaallaad"/>
    <w:next w:val="Kehatekst"/>
    <w:uiPriority w:val="99"/>
    <w:rsid w:val="00010DDB"/>
    <w:pPr>
      <w:keepNext/>
      <w:spacing w:before="1200" w:after="720"/>
      <w:jc w:val="center"/>
    </w:pPr>
    <w:rPr>
      <w:b/>
      <w:bCs/>
      <w:caps/>
    </w:rPr>
  </w:style>
  <w:style w:type="paragraph" w:customStyle="1" w:styleId="Graphic">
    <w:name w:val="Graphic"/>
    <w:basedOn w:val="Normaallaad"/>
    <w:next w:val="Kehatekst"/>
    <w:uiPriority w:val="99"/>
    <w:rsid w:val="00010DDB"/>
    <w:pPr>
      <w:spacing w:after="240"/>
      <w:jc w:val="center"/>
    </w:pPr>
  </w:style>
  <w:style w:type="paragraph" w:customStyle="1" w:styleId="HiddenText">
    <w:name w:val="Hidden Text"/>
    <w:basedOn w:val="Kehatekst"/>
    <w:uiPriority w:val="99"/>
    <w:rsid w:val="00010DDB"/>
    <w:pPr>
      <w:keepNext/>
      <w:spacing w:after="0"/>
      <w:ind w:left="442" w:firstLine="0"/>
    </w:pPr>
    <w:rPr>
      <w:sz w:val="2"/>
      <w:szCs w:val="2"/>
    </w:rPr>
  </w:style>
  <w:style w:type="paragraph" w:customStyle="1" w:styleId="Highlight">
    <w:name w:val="Highlight"/>
    <w:basedOn w:val="Kehatekst"/>
    <w:uiPriority w:val="99"/>
    <w:rsid w:val="00010DDB"/>
    <w:pPr>
      <w:ind w:left="442" w:firstLine="0"/>
    </w:pPr>
    <w:rPr>
      <w:i/>
      <w:iCs/>
    </w:rPr>
  </w:style>
  <w:style w:type="paragraph" w:customStyle="1" w:styleId="HighlightHeading">
    <w:name w:val="Highlight Heading"/>
    <w:basedOn w:val="Normaallaad"/>
    <w:next w:val="Kehatekst"/>
    <w:uiPriority w:val="99"/>
    <w:rsid w:val="00010DDB"/>
    <w:pPr>
      <w:keepNext/>
      <w:spacing w:before="1200" w:after="720"/>
      <w:jc w:val="center"/>
    </w:pPr>
    <w:rPr>
      <w:b/>
      <w:bCs/>
      <w:caps/>
    </w:rPr>
  </w:style>
  <w:style w:type="paragraph" w:customStyle="1" w:styleId="IntroductionHeading">
    <w:name w:val="Introduction Heading"/>
    <w:basedOn w:val="Normaallaad"/>
    <w:next w:val="Kehatekst"/>
    <w:uiPriority w:val="99"/>
    <w:rsid w:val="00010DDB"/>
    <w:pPr>
      <w:keepNext/>
      <w:spacing w:before="1200" w:after="720"/>
      <w:jc w:val="center"/>
    </w:pPr>
    <w:rPr>
      <w:b/>
      <w:bCs/>
      <w:caps/>
    </w:rPr>
  </w:style>
  <w:style w:type="paragraph" w:customStyle="1" w:styleId="Num-ChapParagraph">
    <w:name w:val="Num-Chap Paragraph"/>
    <w:basedOn w:val="Kehatekst"/>
    <w:uiPriority w:val="99"/>
    <w:rsid w:val="00010DDB"/>
    <w:pPr>
      <w:ind w:firstLine="0"/>
    </w:pPr>
  </w:style>
  <w:style w:type="character" w:customStyle="1" w:styleId="Num-DocParagraphChar1">
    <w:name w:val="Num-Doc Paragraph Char1"/>
    <w:link w:val="Num-DocParagraph"/>
    <w:uiPriority w:val="99"/>
    <w:locked/>
    <w:rsid w:val="00010DDB"/>
    <w:rPr>
      <w:rFonts w:ascii="Times New Roman" w:hAnsi="Times New Roman"/>
      <w:lang w:val="et-EE" w:eastAsia="et-EE"/>
    </w:rPr>
  </w:style>
  <w:style w:type="paragraph" w:customStyle="1" w:styleId="PartHeading">
    <w:name w:val="Part Heading"/>
    <w:basedOn w:val="Normaallaad"/>
    <w:next w:val="Kehatekst"/>
    <w:uiPriority w:val="99"/>
    <w:rsid w:val="00010DDB"/>
    <w:pPr>
      <w:keepNext/>
      <w:spacing w:before="1200" w:after="720"/>
      <w:jc w:val="center"/>
    </w:pPr>
    <w:rPr>
      <w:b/>
      <w:bCs/>
      <w:caps/>
    </w:rPr>
  </w:style>
  <w:style w:type="paragraph" w:customStyle="1" w:styleId="RowsHeading">
    <w:name w:val="Rows Heading"/>
    <w:basedOn w:val="Normaallaad"/>
    <w:uiPriority w:val="99"/>
    <w:rsid w:val="00010DDB"/>
    <w:pPr>
      <w:tabs>
        <w:tab w:val="clear" w:pos="850"/>
        <w:tab w:val="clear" w:pos="1191"/>
        <w:tab w:val="clear" w:pos="1531"/>
        <w:tab w:val="left" w:pos="708"/>
      </w:tabs>
      <w:jc w:val="left"/>
    </w:pPr>
    <w:rPr>
      <w:rFonts w:ascii="Arial" w:hAnsi="Arial" w:cs="Arial"/>
      <w:sz w:val="18"/>
      <w:szCs w:val="18"/>
    </w:rPr>
  </w:style>
  <w:style w:type="paragraph" w:customStyle="1" w:styleId="SourceDescription">
    <w:name w:val="Source Description"/>
    <w:basedOn w:val="Normaallaad"/>
    <w:next w:val="Kehatekst"/>
    <w:uiPriority w:val="99"/>
    <w:rsid w:val="00010DDB"/>
    <w:pPr>
      <w:spacing w:after="360"/>
    </w:pPr>
    <w:rPr>
      <w:rFonts w:ascii="Arial" w:hAnsi="Arial" w:cs="Arial"/>
      <w:sz w:val="16"/>
      <w:szCs w:val="18"/>
    </w:rPr>
  </w:style>
  <w:style w:type="paragraph" w:customStyle="1" w:styleId="SubHeading">
    <w:name w:val="SubHeading"/>
    <w:basedOn w:val="Kehatekst"/>
    <w:uiPriority w:val="99"/>
    <w:rsid w:val="00010DDB"/>
    <w:pPr>
      <w:ind w:left="442" w:firstLine="0"/>
    </w:pPr>
    <w:rPr>
      <w:i/>
      <w:iCs/>
    </w:rPr>
  </w:style>
  <w:style w:type="paragraph" w:customStyle="1" w:styleId="SummaryHeading">
    <w:name w:val="Summary Heading"/>
    <w:basedOn w:val="Normaallaad"/>
    <w:next w:val="Kehatekst"/>
    <w:uiPriority w:val="99"/>
    <w:rsid w:val="00010DDB"/>
    <w:pPr>
      <w:keepNext/>
      <w:spacing w:before="1200" w:after="720"/>
      <w:jc w:val="center"/>
    </w:pPr>
    <w:rPr>
      <w:b/>
      <w:bCs/>
      <w:caps/>
    </w:rPr>
  </w:style>
  <w:style w:type="paragraph" w:customStyle="1" w:styleId="Table">
    <w:name w:val="Table"/>
    <w:basedOn w:val="Normaallaad"/>
    <w:next w:val="Kehatekst"/>
    <w:uiPriority w:val="99"/>
    <w:rsid w:val="00010DDB"/>
    <w:pPr>
      <w:spacing w:after="240"/>
      <w:jc w:val="center"/>
    </w:pPr>
  </w:style>
  <w:style w:type="paragraph" w:customStyle="1" w:styleId="TableNote">
    <w:name w:val="Table Note"/>
    <w:basedOn w:val="Normaallaad"/>
    <w:uiPriority w:val="99"/>
    <w:rsid w:val="00010DDB"/>
    <w:pPr>
      <w:spacing w:after="120"/>
      <w:jc w:val="left"/>
    </w:pPr>
    <w:rPr>
      <w:rFonts w:ascii="Arial" w:hAnsi="Arial" w:cs="Arial"/>
      <w:sz w:val="16"/>
      <w:szCs w:val="18"/>
    </w:rPr>
  </w:style>
  <w:style w:type="paragraph" w:customStyle="1" w:styleId="TableofContentsHeading">
    <w:name w:val="Table of Contents Heading"/>
    <w:basedOn w:val="Normaallaad"/>
    <w:next w:val="Kehatekst"/>
    <w:uiPriority w:val="99"/>
    <w:rsid w:val="00010DDB"/>
    <w:pPr>
      <w:keepNext/>
      <w:spacing w:before="1200" w:after="720"/>
      <w:jc w:val="center"/>
    </w:pPr>
    <w:rPr>
      <w:b/>
      <w:bCs/>
      <w:caps/>
    </w:rPr>
  </w:style>
  <w:style w:type="paragraph" w:customStyle="1" w:styleId="TableSub-title">
    <w:name w:val="Table Sub-title"/>
    <w:basedOn w:val="Normaallaad"/>
    <w:uiPriority w:val="99"/>
    <w:rsid w:val="00010DDB"/>
    <w:pPr>
      <w:keepNext/>
      <w:spacing w:after="240"/>
      <w:jc w:val="center"/>
    </w:pPr>
    <w:rPr>
      <w:rFonts w:ascii="Arial" w:hAnsi="Arial" w:cs="Arial"/>
      <w:sz w:val="18"/>
    </w:rPr>
  </w:style>
  <w:style w:type="paragraph" w:customStyle="1" w:styleId="TableTitle">
    <w:name w:val="Table Title"/>
    <w:basedOn w:val="Normaallaad"/>
    <w:uiPriority w:val="99"/>
    <w:rsid w:val="00010DDB"/>
    <w:pPr>
      <w:keepNext/>
      <w:spacing w:after="240"/>
      <w:jc w:val="center"/>
    </w:pPr>
    <w:rPr>
      <w:rFonts w:ascii="Arial" w:hAnsi="Arial" w:cs="Arial"/>
      <w:b/>
      <w:bCs/>
      <w:sz w:val="18"/>
    </w:rPr>
  </w:style>
  <w:style w:type="paragraph" w:customStyle="1" w:styleId="TextBox">
    <w:name w:val="Text Box"/>
    <w:basedOn w:val="Kehatekst"/>
    <w:uiPriority w:val="99"/>
    <w:rsid w:val="00010DDB"/>
    <w:pPr>
      <w:pBdr>
        <w:top w:val="single" w:sz="6" w:space="1" w:color="auto"/>
        <w:left w:val="single" w:sz="6" w:space="1" w:color="auto"/>
        <w:bottom w:val="single" w:sz="6" w:space="1" w:color="auto"/>
        <w:right w:val="single" w:sz="6" w:space="1" w:color="auto"/>
      </w:pBdr>
      <w:ind w:firstLine="0"/>
    </w:pPr>
    <w:rPr>
      <w:rFonts w:ascii="Arial" w:hAnsi="Arial" w:cs="Arial"/>
      <w:sz w:val="18"/>
    </w:rPr>
  </w:style>
  <w:style w:type="paragraph" w:customStyle="1" w:styleId="TextBoxHeading">
    <w:name w:val="Text Box Heading"/>
    <w:basedOn w:val="TextBox"/>
    <w:next w:val="TextBox"/>
    <w:uiPriority w:val="99"/>
    <w:rsid w:val="00010DDB"/>
    <w:pPr>
      <w:jc w:val="center"/>
    </w:pPr>
    <w:rPr>
      <w:b/>
      <w:bCs/>
    </w:rPr>
  </w:style>
  <w:style w:type="paragraph" w:customStyle="1" w:styleId="IndexHeading1">
    <w:name w:val="Index Heading1"/>
    <w:basedOn w:val="Normaallaad"/>
    <w:next w:val="Kehatekst"/>
    <w:uiPriority w:val="99"/>
    <w:rsid w:val="00010DDB"/>
    <w:pPr>
      <w:keepNext/>
      <w:spacing w:before="1200" w:after="720"/>
      <w:jc w:val="center"/>
    </w:pPr>
    <w:rPr>
      <w:b/>
      <w:caps/>
    </w:rPr>
  </w:style>
  <w:style w:type="paragraph" w:customStyle="1" w:styleId="Abstract">
    <w:name w:val="Abstract"/>
    <w:basedOn w:val="Kehatekst"/>
    <w:uiPriority w:val="99"/>
    <w:rsid w:val="00010DDB"/>
    <w:pPr>
      <w:pBdr>
        <w:top w:val="single" w:sz="4" w:space="1" w:color="auto"/>
        <w:left w:val="single" w:sz="4" w:space="4" w:color="auto"/>
        <w:bottom w:val="single" w:sz="4" w:space="1" w:color="auto"/>
        <w:right w:val="single" w:sz="4" w:space="4" w:color="auto"/>
      </w:pBdr>
      <w:ind w:left="442" w:firstLine="0"/>
    </w:pPr>
  </w:style>
  <w:style w:type="paragraph" w:customStyle="1" w:styleId="Author">
    <w:name w:val="Author"/>
    <w:basedOn w:val="Kehatekst"/>
    <w:uiPriority w:val="99"/>
    <w:rsid w:val="00010DDB"/>
    <w:pPr>
      <w:ind w:firstLine="0"/>
    </w:pPr>
  </w:style>
  <w:style w:type="paragraph" w:customStyle="1" w:styleId="Chart">
    <w:name w:val="Chart"/>
    <w:basedOn w:val="Normaallaad"/>
    <w:next w:val="Kehatekst"/>
    <w:uiPriority w:val="99"/>
    <w:rsid w:val="00010DDB"/>
    <w:pPr>
      <w:spacing w:after="240"/>
      <w:jc w:val="center"/>
    </w:pPr>
  </w:style>
  <w:style w:type="paragraph" w:customStyle="1" w:styleId="ChartSub-title">
    <w:name w:val="Chart Sub-title"/>
    <w:basedOn w:val="Normaallaad"/>
    <w:uiPriority w:val="99"/>
    <w:rsid w:val="00010DDB"/>
    <w:pPr>
      <w:keepNext/>
      <w:spacing w:after="120"/>
      <w:jc w:val="center"/>
    </w:pPr>
    <w:rPr>
      <w:rFonts w:ascii="Arial" w:hAnsi="Arial" w:cs="Arial"/>
      <w:sz w:val="18"/>
    </w:rPr>
  </w:style>
  <w:style w:type="paragraph" w:customStyle="1" w:styleId="ChartTitle">
    <w:name w:val="Chart Title"/>
    <w:basedOn w:val="Normaallaad"/>
    <w:next w:val="ChartSub-title"/>
    <w:uiPriority w:val="99"/>
    <w:rsid w:val="00010DDB"/>
    <w:pPr>
      <w:keepNext/>
      <w:spacing w:after="240"/>
      <w:jc w:val="center"/>
    </w:pPr>
    <w:rPr>
      <w:rFonts w:ascii="Arial" w:hAnsi="Arial" w:cs="Arial"/>
      <w:b/>
      <w:sz w:val="18"/>
    </w:rPr>
  </w:style>
  <w:style w:type="paragraph" w:customStyle="1" w:styleId="ChartNote">
    <w:name w:val="Chart Note"/>
    <w:basedOn w:val="Normaallaad"/>
    <w:uiPriority w:val="99"/>
    <w:rsid w:val="00010DDB"/>
    <w:pPr>
      <w:spacing w:after="120"/>
      <w:jc w:val="left"/>
    </w:pPr>
    <w:rPr>
      <w:rFonts w:ascii="Arial" w:hAnsi="Arial" w:cs="Arial"/>
      <w:sz w:val="16"/>
    </w:rPr>
  </w:style>
  <w:style w:type="paragraph" w:customStyle="1" w:styleId="BoxHeading2">
    <w:name w:val="Box Heading 2"/>
    <w:basedOn w:val="Normaallaad"/>
    <w:next w:val="BoxBodyText"/>
    <w:uiPriority w:val="99"/>
    <w:rsid w:val="00010DDB"/>
    <w:pPr>
      <w:spacing w:before="240" w:after="240"/>
      <w:jc w:val="left"/>
    </w:pPr>
    <w:rPr>
      <w:rFonts w:ascii="Arial" w:hAnsi="Arial" w:cs="Arial"/>
      <w:b/>
      <w:sz w:val="18"/>
    </w:rPr>
  </w:style>
  <w:style w:type="paragraph" w:customStyle="1" w:styleId="BoxHeading3">
    <w:name w:val="Box Heading 3"/>
    <w:basedOn w:val="Normaallaad"/>
    <w:next w:val="BoxBodyText"/>
    <w:uiPriority w:val="99"/>
    <w:rsid w:val="00010DDB"/>
    <w:pPr>
      <w:spacing w:before="240" w:after="240"/>
      <w:jc w:val="left"/>
    </w:pPr>
    <w:rPr>
      <w:rFonts w:ascii="Arial" w:hAnsi="Arial" w:cs="Arial"/>
      <w:b/>
      <w:i/>
      <w:sz w:val="18"/>
    </w:rPr>
  </w:style>
  <w:style w:type="paragraph" w:customStyle="1" w:styleId="BoxNote">
    <w:name w:val="Box Note"/>
    <w:basedOn w:val="Normaallaad"/>
    <w:uiPriority w:val="99"/>
    <w:rsid w:val="00010DDB"/>
    <w:pPr>
      <w:tabs>
        <w:tab w:val="clear" w:pos="850"/>
        <w:tab w:val="clear" w:pos="1191"/>
        <w:tab w:val="clear" w:pos="1531"/>
        <w:tab w:val="left" w:pos="340"/>
      </w:tabs>
      <w:spacing w:after="120"/>
      <w:jc w:val="left"/>
    </w:pPr>
    <w:rPr>
      <w:rFonts w:ascii="Arial" w:hAnsi="Arial" w:cs="Arial"/>
      <w:sz w:val="18"/>
    </w:rPr>
  </w:style>
  <w:style w:type="paragraph" w:customStyle="1" w:styleId="ListBulletBox">
    <w:name w:val="List Bullet Box"/>
    <w:basedOn w:val="Normaallaad"/>
    <w:uiPriority w:val="99"/>
    <w:rsid w:val="00010DDB"/>
    <w:pPr>
      <w:numPr>
        <w:numId w:val="6"/>
      </w:numPr>
      <w:tabs>
        <w:tab w:val="clear" w:pos="1191"/>
        <w:tab w:val="clear" w:pos="1531"/>
      </w:tabs>
      <w:spacing w:after="240"/>
    </w:pPr>
    <w:rPr>
      <w:rFonts w:ascii="Arial" w:hAnsi="Arial" w:cs="Arial"/>
      <w:sz w:val="18"/>
    </w:rPr>
  </w:style>
  <w:style w:type="paragraph" w:customStyle="1" w:styleId="ListBulletBox2">
    <w:name w:val="List Bullet Box 2"/>
    <w:basedOn w:val="Normaallaad"/>
    <w:uiPriority w:val="99"/>
    <w:rsid w:val="00010DDB"/>
    <w:pPr>
      <w:numPr>
        <w:numId w:val="7"/>
      </w:numPr>
      <w:tabs>
        <w:tab w:val="clear" w:pos="850"/>
        <w:tab w:val="clear" w:pos="1531"/>
      </w:tabs>
      <w:spacing w:after="240"/>
    </w:pPr>
    <w:rPr>
      <w:rFonts w:ascii="Arial" w:hAnsi="Arial" w:cs="Arial"/>
      <w:sz w:val="18"/>
    </w:rPr>
  </w:style>
  <w:style w:type="paragraph" w:customStyle="1" w:styleId="ListBulletBox3">
    <w:name w:val="List Bullet Box 3"/>
    <w:basedOn w:val="Normaallaad"/>
    <w:uiPriority w:val="99"/>
    <w:rsid w:val="00010DDB"/>
    <w:pPr>
      <w:numPr>
        <w:numId w:val="8"/>
      </w:numPr>
      <w:tabs>
        <w:tab w:val="clear" w:pos="850"/>
        <w:tab w:val="clear" w:pos="1191"/>
        <w:tab w:val="clear" w:pos="1531"/>
      </w:tabs>
      <w:spacing w:after="240"/>
    </w:pPr>
    <w:rPr>
      <w:rFonts w:ascii="Arial" w:hAnsi="Arial" w:cs="Arial"/>
      <w:sz w:val="18"/>
    </w:rPr>
  </w:style>
  <w:style w:type="paragraph" w:customStyle="1" w:styleId="ListNumberBox">
    <w:name w:val="List Number Box"/>
    <w:basedOn w:val="Normaallaad"/>
    <w:uiPriority w:val="99"/>
    <w:rsid w:val="00010DDB"/>
    <w:pPr>
      <w:numPr>
        <w:numId w:val="9"/>
      </w:numPr>
      <w:tabs>
        <w:tab w:val="clear" w:pos="1191"/>
        <w:tab w:val="clear" w:pos="1531"/>
      </w:tabs>
      <w:spacing w:after="240"/>
      <w:ind w:left="850"/>
    </w:pPr>
    <w:rPr>
      <w:rFonts w:ascii="Arial" w:hAnsi="Arial" w:cs="Arial"/>
      <w:sz w:val="18"/>
    </w:rPr>
  </w:style>
  <w:style w:type="paragraph" w:customStyle="1" w:styleId="ListNumberBox2">
    <w:name w:val="List Number Box 2"/>
    <w:basedOn w:val="Normaallaad"/>
    <w:uiPriority w:val="99"/>
    <w:rsid w:val="00010DDB"/>
    <w:pPr>
      <w:numPr>
        <w:ilvl w:val="1"/>
        <w:numId w:val="9"/>
      </w:numPr>
      <w:tabs>
        <w:tab w:val="clear" w:pos="850"/>
        <w:tab w:val="clear" w:pos="1531"/>
      </w:tabs>
      <w:spacing w:after="240"/>
      <w:ind w:left="1191" w:hanging="340"/>
    </w:pPr>
    <w:rPr>
      <w:rFonts w:ascii="Arial" w:hAnsi="Arial" w:cs="Arial"/>
      <w:sz w:val="18"/>
    </w:rPr>
  </w:style>
  <w:style w:type="paragraph" w:customStyle="1" w:styleId="ListNumberBox3">
    <w:name w:val="List Number Box 3"/>
    <w:basedOn w:val="Normaallaad"/>
    <w:uiPriority w:val="99"/>
    <w:rsid w:val="00010DDB"/>
    <w:pPr>
      <w:numPr>
        <w:ilvl w:val="2"/>
        <w:numId w:val="9"/>
      </w:numPr>
      <w:tabs>
        <w:tab w:val="clear" w:pos="850"/>
        <w:tab w:val="clear" w:pos="1191"/>
        <w:tab w:val="clear" w:pos="1531"/>
        <w:tab w:val="left" w:pos="1474"/>
      </w:tabs>
      <w:spacing w:after="240"/>
      <w:ind w:left="1474"/>
    </w:pPr>
    <w:rPr>
      <w:rFonts w:ascii="Arial" w:hAnsi="Arial" w:cs="Arial"/>
      <w:sz w:val="18"/>
    </w:rPr>
  </w:style>
  <w:style w:type="paragraph" w:customStyle="1" w:styleId="ListContinueBox">
    <w:name w:val="List Continue Box"/>
    <w:basedOn w:val="Normaallaad"/>
    <w:uiPriority w:val="99"/>
    <w:rsid w:val="00010DDB"/>
    <w:pPr>
      <w:tabs>
        <w:tab w:val="clear" w:pos="850"/>
        <w:tab w:val="clear" w:pos="1191"/>
        <w:tab w:val="clear" w:pos="1531"/>
        <w:tab w:val="left" w:pos="708"/>
      </w:tabs>
      <w:spacing w:after="240"/>
      <w:ind w:left="850"/>
    </w:pPr>
    <w:rPr>
      <w:rFonts w:ascii="Arial" w:hAnsi="Arial" w:cs="Arial"/>
      <w:sz w:val="18"/>
    </w:rPr>
  </w:style>
  <w:style w:type="paragraph" w:customStyle="1" w:styleId="ListContinueBox2">
    <w:name w:val="List Continue Box 2"/>
    <w:basedOn w:val="Normaallaad"/>
    <w:uiPriority w:val="99"/>
    <w:rsid w:val="00010DDB"/>
    <w:pPr>
      <w:tabs>
        <w:tab w:val="clear" w:pos="850"/>
        <w:tab w:val="clear" w:pos="1191"/>
        <w:tab w:val="clear" w:pos="1531"/>
        <w:tab w:val="left" w:pos="708"/>
      </w:tabs>
      <w:spacing w:after="240"/>
      <w:ind w:left="1191"/>
    </w:pPr>
    <w:rPr>
      <w:rFonts w:ascii="Arial" w:hAnsi="Arial" w:cs="Arial"/>
      <w:sz w:val="18"/>
    </w:rPr>
  </w:style>
  <w:style w:type="paragraph" w:customStyle="1" w:styleId="ListContinueBox3">
    <w:name w:val="List Continue Box 3"/>
    <w:basedOn w:val="Normaallaad"/>
    <w:uiPriority w:val="99"/>
    <w:rsid w:val="00010DDB"/>
    <w:pPr>
      <w:tabs>
        <w:tab w:val="clear" w:pos="850"/>
        <w:tab w:val="clear" w:pos="1191"/>
        <w:tab w:val="clear" w:pos="1531"/>
        <w:tab w:val="left" w:pos="708"/>
      </w:tabs>
      <w:spacing w:after="240"/>
      <w:ind w:left="1474"/>
    </w:pPr>
    <w:rPr>
      <w:rFonts w:ascii="Arial" w:hAnsi="Arial" w:cs="Arial"/>
      <w:sz w:val="18"/>
    </w:rPr>
  </w:style>
  <w:style w:type="paragraph" w:customStyle="1" w:styleId="BoxSource">
    <w:name w:val="Box Source"/>
    <w:basedOn w:val="Normaallaad"/>
    <w:next w:val="Kehatekst"/>
    <w:uiPriority w:val="99"/>
    <w:rsid w:val="00010DDB"/>
    <w:pPr>
      <w:spacing w:after="360"/>
    </w:pPr>
    <w:rPr>
      <w:rFonts w:ascii="Arial" w:hAnsi="Arial" w:cs="Arial"/>
      <w:sz w:val="16"/>
    </w:rPr>
  </w:style>
  <w:style w:type="paragraph" w:customStyle="1" w:styleId="AcknowledgementHeading">
    <w:name w:val="Acknowledgement Heading"/>
    <w:basedOn w:val="Normaallaad"/>
    <w:next w:val="Kehatekst"/>
    <w:uiPriority w:val="99"/>
    <w:rsid w:val="00010DDB"/>
    <w:pPr>
      <w:keepNext/>
      <w:spacing w:before="1200" w:after="720"/>
      <w:jc w:val="center"/>
    </w:pPr>
    <w:rPr>
      <w:b/>
      <w:caps/>
    </w:rPr>
  </w:style>
  <w:style w:type="paragraph" w:customStyle="1" w:styleId="BoxBodyTextIndent">
    <w:name w:val="Box Body Text Indent"/>
    <w:basedOn w:val="Normaallaad"/>
    <w:uiPriority w:val="99"/>
    <w:rsid w:val="00010DDB"/>
    <w:pPr>
      <w:spacing w:after="240"/>
      <w:ind w:left="442"/>
    </w:pPr>
    <w:rPr>
      <w:rFonts w:ascii="Arial" w:hAnsi="Arial" w:cs="Arial"/>
      <w:sz w:val="18"/>
    </w:rPr>
  </w:style>
  <w:style w:type="character" w:customStyle="1" w:styleId="CitationChar">
    <w:name w:val="Citation Char"/>
    <w:basedOn w:val="Liguvaikefont"/>
    <w:link w:val="Citation"/>
    <w:locked/>
    <w:rsid w:val="00010DDB"/>
    <w:rPr>
      <w:rFonts w:cs="Times New Roman"/>
      <w:lang w:val="et-EE" w:eastAsia="et-EE"/>
    </w:rPr>
  </w:style>
  <w:style w:type="paragraph" w:customStyle="1" w:styleId="Citation">
    <w:name w:val="Citation"/>
    <w:basedOn w:val="Kehatekst"/>
    <w:link w:val="CitationChar"/>
    <w:rsid w:val="00010DDB"/>
    <w:pPr>
      <w:ind w:left="850" w:firstLine="0"/>
      <w:jc w:val="left"/>
    </w:pPr>
    <w:rPr>
      <w:rFonts w:asciiTheme="minorHAnsi" w:hAnsiTheme="minorHAnsi" w:cstheme="minorBidi"/>
    </w:rPr>
  </w:style>
  <w:style w:type="paragraph" w:customStyle="1" w:styleId="Default">
    <w:name w:val="Default"/>
    <w:uiPriority w:val="99"/>
    <w:rsid w:val="00010DDB"/>
    <w:pPr>
      <w:tabs>
        <w:tab w:val="left" w:pos="708"/>
      </w:tabs>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ormal-p">
    <w:name w:val="normal-p"/>
    <w:basedOn w:val="Normaallaad"/>
    <w:uiPriority w:val="99"/>
    <w:rsid w:val="00010DDB"/>
    <w:pPr>
      <w:tabs>
        <w:tab w:val="clear" w:pos="850"/>
        <w:tab w:val="clear" w:pos="1191"/>
        <w:tab w:val="clear" w:pos="1531"/>
        <w:tab w:val="left" w:pos="708"/>
      </w:tabs>
      <w:spacing w:before="100" w:beforeAutospacing="1" w:after="100" w:afterAutospacing="1"/>
      <w:jc w:val="left"/>
    </w:pPr>
    <w:rPr>
      <w:sz w:val="24"/>
      <w:szCs w:val="24"/>
    </w:rPr>
  </w:style>
  <w:style w:type="character" w:customStyle="1" w:styleId="StyleHeading2NotAllcapsAsianMSMinchoChar">
    <w:name w:val="Style Heading 2 + Not All caps + (Asian) MS Mincho Char"/>
    <w:basedOn w:val="Liguvaikefont"/>
    <w:link w:val="StyleHeading2NotAllcapsAsianMSMincho"/>
    <w:locked/>
    <w:rsid w:val="00010DDB"/>
    <w:rPr>
      <w:rFonts w:ascii="Arial" w:eastAsia="MS Mincho" w:hAnsi="Arial" w:cs="Arial"/>
      <w:b/>
      <w:bCs/>
      <w:sz w:val="24"/>
      <w:szCs w:val="24"/>
      <w:lang w:val="et-EE"/>
    </w:rPr>
  </w:style>
  <w:style w:type="paragraph" w:customStyle="1" w:styleId="StyleHeading2NotAllcapsAsianMSMincho">
    <w:name w:val="Style Heading 2 + Not All caps + (Asian) MS Mincho"/>
    <w:basedOn w:val="Normaallaad"/>
    <w:link w:val="StyleHeading2NotAllcapsAsianMSMinchoChar"/>
    <w:rsid w:val="00010DDB"/>
    <w:pPr>
      <w:keepNext/>
      <w:tabs>
        <w:tab w:val="clear" w:pos="850"/>
        <w:tab w:val="clear" w:pos="1191"/>
        <w:tab w:val="clear" w:pos="1531"/>
        <w:tab w:val="num" w:pos="720"/>
      </w:tabs>
      <w:spacing w:before="120" w:after="120"/>
      <w:ind w:left="720" w:hanging="720"/>
      <w:jc w:val="left"/>
      <w:outlineLvl w:val="1"/>
    </w:pPr>
    <w:rPr>
      <w:rFonts w:ascii="Arial" w:eastAsia="MS Mincho" w:hAnsi="Arial" w:cs="Arial"/>
      <w:b/>
      <w:bCs/>
      <w:sz w:val="24"/>
      <w:szCs w:val="24"/>
    </w:rPr>
  </w:style>
  <w:style w:type="character" w:styleId="Allmrkuseviide">
    <w:name w:val="footnote reference"/>
    <w:basedOn w:val="Liguvaikefont"/>
    <w:uiPriority w:val="99"/>
    <w:semiHidden/>
    <w:unhideWhenUsed/>
    <w:rsid w:val="00010DDB"/>
    <w:rPr>
      <w:rFonts w:cs="Times New Roman"/>
      <w:vertAlign w:val="superscript"/>
    </w:rPr>
  </w:style>
  <w:style w:type="character" w:styleId="Kommentaariviide">
    <w:name w:val="annotation reference"/>
    <w:basedOn w:val="Liguvaikefont"/>
    <w:uiPriority w:val="99"/>
    <w:semiHidden/>
    <w:unhideWhenUsed/>
    <w:rsid w:val="00010DDB"/>
    <w:rPr>
      <w:rFonts w:cs="Times New Roman"/>
      <w:sz w:val="16"/>
      <w:szCs w:val="16"/>
    </w:rPr>
  </w:style>
  <w:style w:type="character" w:customStyle="1" w:styleId="Cote">
    <w:name w:val="Cote"/>
    <w:basedOn w:val="Liguvaikefont"/>
    <w:rsid w:val="00010DDB"/>
    <w:rPr>
      <w:rFonts w:cs="Times New Roman"/>
      <w:caps/>
      <w:lang w:val="et-EE"/>
    </w:rPr>
  </w:style>
  <w:style w:type="character" w:customStyle="1" w:styleId="normal-h">
    <w:name w:val="normal-h"/>
    <w:basedOn w:val="Liguvaikefont"/>
    <w:rsid w:val="00010DDB"/>
    <w:rPr>
      <w:rFonts w:cs="Times New Roman"/>
    </w:rPr>
  </w:style>
  <w:style w:type="character" w:customStyle="1" w:styleId="Num-DocParagraphChar">
    <w:name w:val="Num-Doc Paragraph Char"/>
    <w:rsid w:val="00010DDB"/>
    <w:rPr>
      <w:sz w:val="22"/>
      <w:lang w:val="et-EE" w:eastAsia="et-EE"/>
    </w:rPr>
  </w:style>
  <w:style w:type="character" w:customStyle="1" w:styleId="tx1">
    <w:name w:val="tx1"/>
    <w:rsid w:val="00010DDB"/>
    <w:rPr>
      <w:b/>
    </w:rPr>
  </w:style>
  <w:style w:type="character" w:customStyle="1" w:styleId="ptext-41">
    <w:name w:val="ptext-41"/>
    <w:basedOn w:val="Liguvaikefont"/>
    <w:rsid w:val="00010DDB"/>
    <w:rPr>
      <w:rFonts w:cs="Times New Roman"/>
    </w:rPr>
  </w:style>
  <w:style w:type="table" w:styleId="Kontuurtabel">
    <w:name w:val="Table Grid"/>
    <w:basedOn w:val="Normaaltabel"/>
    <w:uiPriority w:val="59"/>
    <w:rsid w:val="00010DDB"/>
    <w:pPr>
      <w:spacing w:after="0" w:line="240" w:lineRule="auto"/>
    </w:pPr>
    <w:rPr>
      <w:rFonts w:ascii="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Normaaltabel"/>
    <w:uiPriority w:val="60"/>
    <w:rsid w:val="00010DDB"/>
    <w:pPr>
      <w:spacing w:after="0" w:line="240" w:lineRule="auto"/>
    </w:pPr>
    <w:rPr>
      <w:rFonts w:ascii="Calibri" w:hAnsi="Calibri"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customStyle="1" w:styleId="LightList-Accent11">
    <w:name w:val="Light List - Accent 11"/>
    <w:basedOn w:val="Normaaltabel"/>
    <w:uiPriority w:val="61"/>
    <w:rsid w:val="00010DDB"/>
    <w:pPr>
      <w:spacing w:after="0" w:line="240" w:lineRule="auto"/>
    </w:pPr>
    <w:rPr>
      <w:rFonts w:ascii="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Autospacing="0" w:afterLines="0" w:afterAutospacing="0"/>
      </w:pPr>
      <w:rPr>
        <w:rFonts w:cs="Times New Roman"/>
        <w:b/>
        <w:bCs/>
        <w:color w:val="FFFFFF"/>
      </w:rPr>
      <w:tblPr/>
      <w:tcPr>
        <w:shd w:val="clear" w:color="auto" w:fill="4F81BD"/>
      </w:tcPr>
    </w:tblStylePr>
    <w:tblStylePr w:type="lastRow">
      <w:pPr>
        <w:spacing w:beforeLines="0" w:beforeAutospacing="0" w:afterLines="0" w:afterAutospacing="0"/>
      </w:pPr>
      <w:rPr>
        <w:rFonts w:cs="Times New Roman"/>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BulletedNote">
    <w:name w:val="Bulleted Note"/>
    <w:rsid w:val="004667E3"/>
    <w:pPr>
      <w:numPr>
        <w:numId w:val="55"/>
      </w:numPr>
    </w:pPr>
  </w:style>
  <w:style w:type="numbering" w:customStyle="1" w:styleId="NumericNote">
    <w:name w:val="Numeric Note"/>
    <w:rsid w:val="004667E3"/>
    <w:pPr>
      <w:numPr>
        <w:numId w:val="56"/>
      </w:numPr>
    </w:pPr>
  </w:style>
  <w:style w:type="numbering" w:customStyle="1" w:styleId="NumberedNote">
    <w:name w:val="Numbered Note"/>
    <w:rsid w:val="004667E3"/>
    <w:pPr>
      <w:numPr>
        <w:numId w:val="57"/>
      </w:numPr>
    </w:pPr>
  </w:style>
  <w:style w:type="numbering" w:customStyle="1" w:styleId="AlphaNote">
    <w:name w:val="Alpha Note"/>
    <w:rsid w:val="004667E3"/>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1971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Information_securit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n.wikipedia.org/wiki/IT_ris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fatf-gafi.org/media/fatf/documents/recommendations/pdfs/FATF_Recommendations.pdf" TargetMode="External"/><Relationship Id="rId3" Type="http://schemas.openxmlformats.org/officeDocument/2006/relationships/hyperlink" Target="http://www.fatf-gafi.org/media/fatf/documents/recommendations/pdfs/FATF_Recommendations.pdf" TargetMode="External"/><Relationship Id="rId7" Type="http://schemas.openxmlformats.org/officeDocument/2006/relationships/hyperlink" Target="https://www.g20.org/" TargetMode="External"/><Relationship Id="rId2" Type="http://schemas.openxmlformats.org/officeDocument/2006/relationships/hyperlink" Target="http://www.leiroc.org/" TargetMode="External"/><Relationship Id="rId1" Type="http://schemas.openxmlformats.org/officeDocument/2006/relationships/hyperlink" Target="http://www.oecd.org/ctp/exchange-of-tax-information/keeping-it-safe-report.pdf" TargetMode="External"/><Relationship Id="rId6" Type="http://schemas.openxmlformats.org/officeDocument/2006/relationships/hyperlink" Target="https://www.g20.org/" TargetMode="External"/><Relationship Id="rId5" Type="http://schemas.openxmlformats.org/officeDocument/2006/relationships/hyperlink" Target="http://www.fatf-gafi.org/media/fatf/documents/recommendations/pdfs/FATF_Recommendations.pdf" TargetMode="External"/><Relationship Id="rId4" Type="http://schemas.openxmlformats.org/officeDocument/2006/relationships/hyperlink" Target="http://www.fatf-gafi.org/media/fatf/documents/recommendations/pdfs/FATF_Recommend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5C5176-8C8B-4E77-871F-FDFA74563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101</Pages>
  <Words>48934</Words>
  <Characters>283819</Characters>
  <Application>Microsoft Office Word</Application>
  <DocSecurity>0</DocSecurity>
  <Lines>2365</Lines>
  <Paragraphs>664</Paragraphs>
  <ScaleCrop>false</ScaleCrop>
  <HeadingPairs>
    <vt:vector size="4" baseType="variant">
      <vt:variant>
        <vt:lpstr>Pealkiri</vt:lpstr>
      </vt:variant>
      <vt:variant>
        <vt:i4>1</vt:i4>
      </vt:variant>
      <vt:variant>
        <vt:lpstr>Title</vt:lpstr>
      </vt:variant>
      <vt:variant>
        <vt:i4>1</vt:i4>
      </vt:variant>
    </vt:vector>
  </HeadingPairs>
  <TitlesOfParts>
    <vt:vector size="2" baseType="lpstr">
      <vt:lpstr/>
      <vt:lpstr/>
    </vt:vector>
  </TitlesOfParts>
  <Company>RMIT</Company>
  <LinksUpToDate>false</LinksUpToDate>
  <CharactersWithSpaces>332089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iiris.poldma</dc:creator>
  <cp:lastModifiedBy>Tiina Hansson</cp:lastModifiedBy>
  <cp:revision>2</cp:revision>
  <dcterms:created xsi:type="dcterms:W3CDTF">2020-11-05T13:02:00Z</dcterms:created>
  <dcterms:modified xsi:type="dcterms:W3CDTF">2020-11-05T13:02:00Z</dcterms:modified>
</cp:coreProperties>
</file>